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bidi/>
        <w:jc w:val="right"/>
      </w:pPr>
      <w:r>
        <w:rPr>
          <w:b/>
          <w:color w:val="5B3FD6"/>
          <w:sz w:val="38"/>
        </w:rPr>
        <w:t>AVI TECH</w:t>
      </w:r>
    </w:p>
    <w:p>
      <w:pPr>
        <w:bidi/>
        <w:jc w:val="right"/>
      </w:pPr>
      <w:r>
        <w:rPr>
          <w:b/>
          <w:color w:val="14222F"/>
          <w:sz w:val="26"/>
        </w:rPr>
        <w:t>تقدير تكلفة مبدئي · PRELIMINARY COST ESTIMATE</w:t>
      </w:r>
    </w:p>
    <w:p>
      <w:pPr>
        <w:bidi/>
        <w:jc w:val="right"/>
      </w:pPr>
      <w:r>
        <w:rPr>
          <w:b w:val="0"/>
          <w:color w:val="5A6B78"/>
          <w:sz w:val="18"/>
        </w:rPr>
        <w:t>المرجع: [ AVI-E-2026-014 ]   ·   التاريخ: [ 14 / 09 / 2026 ]   ·   الإصدار 0.1 — للنقاش</w:t>
      </w:r>
    </w:p>
    <w:p>
      <w:pPr>
        <w:bidi/>
        <w:jc w:val="right"/>
      </w:pPr>
      <w:r>
        <w:rPr>
          <w:b/>
          <w:color w:val="8A5410"/>
          <w:sz w:val="18"/>
        </w:rPr>
        <w:t>الحالة: تقديري · يُثبَّت بعد اعتماد النطاق النهائي</w:t>
      </w:r>
    </w:p>
    <w:tbl>
      <w:tblPr>
        <w:tblStyle w:val="TableGrid"/>
        <w:tblW w:type="auto" w:w="0"/>
        <w:tblLook w:firstColumn="1" w:firstRow="1" w:lastColumn="0" w:lastRow="0" w:noHBand="0" w:noVBand="1" w:val="04A0"/>
        <w:bidiVisual/>
      </w:tblPr>
      <w:tblGrid>
        <w:gridCol w:w="5213"/>
        <w:gridCol w:w="5213"/>
      </w:tblGrid>
      <w:tr>
        <w:tc>
          <w:tcPr>
            <w:tcW w:type="dxa" w:w="5213"/>
          </w:tcPr>
          <w:p>
            <w:pPr>
              <w:bidi/>
              <w:jc w:val="right"/>
            </w:pPr>
            <w:r/>
            <w:r>
              <w:rPr>
                <w:b w:val="0"/>
                <w:sz w:val="18"/>
              </w:rPr>
              <w:t>مُقدَّم إلى · Prepared for:</w:t>
              <w:br/>
              <w:t>وزارة الداخلية — مكتب سمو الوزير</w:t>
              <w:br/>
              <w:t>Ministry of Interior · Minister's Office</w:t>
            </w:r>
          </w:p>
        </w:tc>
        <w:tc>
          <w:tcPr>
            <w:tcW w:type="dxa" w:w="5213"/>
          </w:tcPr>
          <w:p>
            <w:pPr>
              <w:bidi/>
              <w:jc w:val="right"/>
            </w:pPr>
            <w:r/>
            <w:r>
              <w:rPr>
                <w:b w:val="0"/>
                <w:sz w:val="18"/>
              </w:rPr>
              <w:t>المشروع · Project:</w:t>
              <w:br/>
              <w:t>التوأم الرقمي — اللوحة الاستراتيجية ثلاثية الأبعاد</w:t>
              <w:br/>
              <w:t>MOI Digital Twin · 3D Strategic Video-Wall Board</w:t>
            </w:r>
          </w:p>
        </w:tc>
      </w:tr>
    </w:tbl>
    <w:p/>
    <w:tbl>
      <w:tblPr>
        <w:tblStyle w:val="TableGrid"/>
        <w:tblW w:type="auto" w:w="0"/>
        <w:tblLook w:firstColumn="1" w:firstRow="1" w:lastColumn="0" w:lastRow="0" w:noHBand="0" w:noVBand="1" w:val="04A0"/>
        <w:bidiVisual/>
      </w:tblPr>
      <w:tblGrid>
        <w:gridCol w:w="10426"/>
      </w:tblGrid>
      <w:tr>
        <w:tc>
          <w:tcPr>
            <w:tcW w:type="dxa" w:w="10426"/>
            <w:shd w:val="clear" w:fill="EEEAF9"/>
          </w:tcPr>
          <w:p>
            <w:pPr>
              <w:bidi/>
              <w:jc w:val="right"/>
            </w:pPr>
            <w:r/>
            <w:r>
              <w:rPr>
                <w:b w:val="0"/>
                <w:sz w:val="17"/>
              </w:rPr>
              <w:t>الفكرة: شاشة جدارية تعرض منهجية عمل الوزارة بالاستعانة بوكلاء الذكاء الاصطناعي، من العمليات التشغيلية إلى القرار الاستراتيجي، فوق نموذج واقعي ثلاثي الأبعاد لدولة الإمارات ومعالمها وقياداتها الشرطية — في إحاطة تُفهم خلال دقيقة واحدة، وقابلة للربط ببيانات لحظية.</w:t>
            </w:r>
          </w:p>
        </w:tc>
      </w:tr>
    </w:tbl>
    <w:p/>
    <w:p>
      <w:pPr>
        <w:bidi/>
        <w:jc w:val="right"/>
      </w:pPr>
      <w:r>
        <w:rPr>
          <w:b/>
          <w:color w:val="5B3FD6"/>
          <w:sz w:val="24"/>
        </w:rPr>
        <w:t>1 · نطاق العمل</w:t>
      </w:r>
      <w:r>
        <w:rPr>
          <w:color w:val="5A6B78"/>
          <w:sz w:val="17"/>
        </w:rPr>
        <w:t xml:space="preserve">   Scope of Work</w:t>
      </w:r>
    </w:p>
    <w:p>
      <w:pPr>
        <w:pStyle w:val="ListBullet"/>
        <w:bidi/>
        <w:jc w:val="right"/>
      </w:pPr>
      <w:r>
        <w:rPr>
          <w:sz w:val="19"/>
        </w:rPr>
        <w:t>ورشة النطاق والسيناريو: اعتماد رحلة الستين ثانية، مستويات الوكلاء الثلاثة (تشغيلي / تكتيكي / استراتيجي)، والمؤشرات التي تهم متخذ القرار.</w:t>
      </w:r>
    </w:p>
    <w:p>
      <w:pPr>
        <w:pStyle w:val="ListBullet"/>
        <w:bidi/>
        <w:jc w:val="right"/>
      </w:pPr>
      <w:r>
        <w:rPr>
          <w:sz w:val="19"/>
        </w:rPr>
        <w:t>النموذج الواقعي ثلاثي الأبعاد: خريطة الدولة بمبانيها الحقيقية (Google Photorealistic 3D Tiles) مع إخراج سينمائي للكاميرا، ووضعين نهاري وداكن.</w:t>
      </w:r>
    </w:p>
    <w:p>
      <w:pPr>
        <w:pStyle w:val="ListBullet"/>
        <w:bidi/>
        <w:jc w:val="right"/>
      </w:pPr>
      <w:r>
        <w:rPr>
          <w:sz w:val="19"/>
        </w:rPr>
        <w:t>طبقة القيادات والمعالم: القيادات العامة للشرطة والوزارة كمحطات مضيئة مع بطاقة بيانات لكل قيادة، وتحديد أهم المعالم في كل إمارة.</w:t>
      </w:r>
    </w:p>
    <w:p>
      <w:pPr>
        <w:pStyle w:val="ListBullet"/>
        <w:bidi/>
        <w:jc w:val="right"/>
      </w:pPr>
      <w:r>
        <w:rPr>
          <w:sz w:val="19"/>
        </w:rPr>
        <w:t>طبقة الوكلاء الذكية: عرض كل وكيل ونوعه وخط سير عمله (مدخل ← معالجة ← مخرج) ومؤشره، مع تدفق البيانات من القيادات إلى نواة الوزارة.</w:t>
      </w:r>
    </w:p>
    <w:p>
      <w:pPr>
        <w:pStyle w:val="ListBullet"/>
        <w:bidi/>
        <w:jc w:val="right"/>
      </w:pPr>
      <w:r>
        <w:rPr>
          <w:sz w:val="19"/>
        </w:rPr>
        <w:t>سيناريوهات حية: بلاغ 999 وتوجيه الدورية، الرؤية الحاسوبية والتنبؤ الاستباقي، التنسيق بين الجهات، والإحاطة الاستراتيجية — قابلة للتعديل حسب توجيهات الوزارة.</w:t>
      </w:r>
    </w:p>
    <w:p>
      <w:pPr>
        <w:pStyle w:val="ListBullet"/>
        <w:bidi/>
        <w:jc w:val="right"/>
      </w:pPr>
      <w:r>
        <w:rPr>
          <w:sz w:val="19"/>
        </w:rPr>
        <w:t>لوحة إدخال البيانات: لوحة تحكم آمنة على الويب يدخل منها فريق الوزارة المؤشرات وبطاقات القيادات والتنبيهات والبلاغات من أي جهاز، وتظهر على الشاشة فوراً — دون أي ربط بأنظمة الوزارة.</w:t>
      </w:r>
    </w:p>
    <w:p>
      <w:pPr>
        <w:pStyle w:val="ListBullet"/>
        <w:bidi/>
        <w:jc w:val="right"/>
      </w:pPr>
      <w:r>
        <w:rPr>
          <w:sz w:val="19"/>
        </w:rPr>
        <w:t>التهيئة للشاشة الجدارية: إخراج بمقاس 15360×5450 مع تصغير تلقائي لأي شاشة، اختبار ميداني وتسليم على البنية المعتمدة.</w:t>
      </w:r>
    </w:p>
    <w:p>
      <w:pPr>
        <w:pStyle w:val="ListBullet"/>
        <w:bidi/>
        <w:jc w:val="right"/>
      </w:pPr>
      <w:r>
        <w:rPr>
          <w:sz w:val="19"/>
        </w:rPr>
        <w:t>التدريب والتوثيق والدعم: دليل تشغيل وتحديث المحتوى، جلسة تدريب، ودعم لثلاثة أشهر بعد التسليم.</w:t>
      </w:r>
    </w:p>
    <w:p>
      <w:pPr>
        <w:bidi/>
        <w:jc w:val="right"/>
      </w:pPr>
      <w:r>
        <w:rPr>
          <w:b/>
          <w:color w:val="5B3FD6"/>
          <w:sz w:val="24"/>
        </w:rPr>
        <w:t>2 · التقدير المالي</w:t>
      </w:r>
      <w:r>
        <w:rPr>
          <w:color w:val="5A6B78"/>
          <w:sz w:val="17"/>
        </w:rPr>
        <w:t xml:space="preserve">   Indicative Cost Breakdown</w:t>
      </w:r>
    </w:p>
    <w:tbl>
      <w:tblPr>
        <w:tblStyle w:val="TableGrid"/>
        <w:tblW w:type="auto" w:w="0"/>
        <w:tblLook w:firstColumn="1" w:firstRow="1" w:lastColumn="0" w:lastRow="0" w:noHBand="0" w:noVBand="1" w:val="04A0"/>
        <w:bidiVisual/>
      </w:tblPr>
      <w:tblGrid>
        <w:gridCol w:w="3475"/>
        <w:gridCol w:w="3475"/>
        <w:gridCol w:w="3475"/>
      </w:tblGrid>
      <w:tr>
        <w:tc>
          <w:tcPr>
            <w:tcW w:type="dxa" w:w="3475"/>
            <w:shd w:val="clear" w:fill="14222F"/>
          </w:tcPr>
          <w:p>
            <w:pPr>
              <w:bidi/>
              <w:jc w:val="right"/>
            </w:pPr>
            <w:r/>
            <w:r>
              <w:rPr>
                <w:b/>
                <w:color w:val="FFFFFF"/>
                <w:sz w:val="18"/>
              </w:rPr>
              <w:t>البند</w:t>
            </w:r>
          </w:p>
        </w:tc>
        <w:tc>
          <w:tcPr>
            <w:tcW w:type="dxa" w:w="3475"/>
            <w:shd w:val="clear" w:fill="14222F"/>
          </w:tcPr>
          <w:p>
            <w:pPr>
              <w:bidi/>
              <w:jc w:val="center"/>
            </w:pPr>
            <w:r/>
            <w:r>
              <w:rPr>
                <w:b/>
                <w:color w:val="FFFFFF"/>
                <w:sz w:val="18"/>
              </w:rPr>
              <w:t>الوصف</w:t>
            </w:r>
          </w:p>
        </w:tc>
        <w:tc>
          <w:tcPr>
            <w:tcW w:type="dxa" w:w="3475"/>
            <w:shd w:val="clear" w:fill="14222F"/>
          </w:tcPr>
          <w:p>
            <w:pPr>
              <w:bidi/>
              <w:jc w:val="center"/>
            </w:pPr>
            <w:r/>
            <w:r>
              <w:rPr>
                <w:b/>
                <w:color w:val="FFFFFF"/>
                <w:sz w:val="18"/>
              </w:rPr>
              <w:t>التقدير (AED)</w:t>
            </w:r>
          </w:p>
        </w:tc>
      </w:tr>
      <w:tr>
        <w:tc>
          <w:tcPr>
            <w:tcW w:type="dxa" w:w="3475"/>
          </w:tcPr>
          <w:p>
            <w:pPr>
              <w:bidi/>
              <w:jc w:val="right"/>
            </w:pPr>
            <w:r/>
            <w:r>
              <w:rPr>
                <w:b/>
                <w:sz w:val="18"/>
              </w:rPr>
              <w:t>ورشة النطاق وتصميم التجربة</w:t>
            </w:r>
          </w:p>
        </w:tc>
        <w:tc>
          <w:tcPr>
            <w:tcW w:type="dxa" w:w="3475"/>
          </w:tcPr>
          <w:p>
            <w:pPr>
              <w:bidi/>
              <w:jc w:val="center"/>
            </w:pPr>
            <w:r/>
            <w:r>
              <w:rPr>
                <w:b w:val="0"/>
                <w:sz w:val="18"/>
              </w:rPr>
              <w:t>ورشة مع مكتب سمو الوزير، سيناريو الإحاطة، لوحة القصة، ونظام التصميم البصري بهوية الوزارة.</w:t>
            </w:r>
          </w:p>
        </w:tc>
        <w:tc>
          <w:tcPr>
            <w:tcW w:type="dxa" w:w="3475"/>
          </w:tcPr>
          <w:p>
            <w:pPr>
              <w:bidi/>
              <w:jc w:val="center"/>
            </w:pPr>
            <w:r/>
            <w:r>
              <w:rPr>
                <w:b w:val="0"/>
                <w:sz w:val="18"/>
              </w:rPr>
              <w:t>~ 8,000</w:t>
            </w:r>
          </w:p>
        </w:tc>
      </w:tr>
      <w:tr>
        <w:tc>
          <w:tcPr>
            <w:tcW w:type="dxa" w:w="3475"/>
          </w:tcPr>
          <w:p>
            <w:pPr>
              <w:bidi/>
              <w:jc w:val="right"/>
            </w:pPr>
            <w:r/>
            <w:r>
              <w:rPr>
                <w:b/>
                <w:sz w:val="18"/>
              </w:rPr>
              <w:t>منصة التوأم الرقمي ثلاثي الأبعاد</w:t>
            </w:r>
          </w:p>
        </w:tc>
        <w:tc>
          <w:tcPr>
            <w:tcW w:type="dxa" w:w="3475"/>
          </w:tcPr>
          <w:p>
            <w:pPr>
              <w:bidi/>
              <w:jc w:val="center"/>
            </w:pPr>
            <w:r/>
            <w:r>
              <w:rPr>
                <w:b w:val="0"/>
                <w:sz w:val="18"/>
              </w:rPr>
              <w:t>النموذج الواقعي للدولة، إخراج الكاميرا والفصول الستة، المعالم، القيادات ونواة الوكلاء، الوضع النهاري/الداكن، الأداء على الشاشة الجدارية.</w:t>
            </w:r>
          </w:p>
        </w:tc>
        <w:tc>
          <w:tcPr>
            <w:tcW w:type="dxa" w:w="3475"/>
          </w:tcPr>
          <w:p>
            <w:pPr>
              <w:bidi/>
              <w:jc w:val="center"/>
            </w:pPr>
            <w:r/>
            <w:r>
              <w:rPr>
                <w:b w:val="0"/>
                <w:sz w:val="18"/>
              </w:rPr>
              <w:t>~ 22,000</w:t>
            </w:r>
          </w:p>
        </w:tc>
      </w:tr>
      <w:tr>
        <w:tc>
          <w:tcPr>
            <w:tcW w:type="dxa" w:w="3475"/>
          </w:tcPr>
          <w:p>
            <w:pPr>
              <w:bidi/>
              <w:jc w:val="right"/>
            </w:pPr>
            <w:r/>
            <w:r>
              <w:rPr>
                <w:b/>
                <w:sz w:val="18"/>
              </w:rPr>
              <w:t>طبقة الوكلاء الذكية والمحتوى</w:t>
            </w:r>
          </w:p>
        </w:tc>
        <w:tc>
          <w:tcPr>
            <w:tcW w:type="dxa" w:w="3475"/>
          </w:tcPr>
          <w:p>
            <w:pPr>
              <w:bidi/>
              <w:jc w:val="center"/>
            </w:pPr>
            <w:r/>
            <w:r>
              <w:rPr>
                <w:b w:val="0"/>
                <w:sz w:val="18"/>
              </w:rPr>
              <w:t>تعريف الوكلاء التسعة وخطوط سيرهم، المؤشرات الاستراتيجية والتشغيلية، بطاقات القيادات، الشريط الإخباري، والمحتوى العربي كاملاً.</w:t>
            </w:r>
          </w:p>
        </w:tc>
        <w:tc>
          <w:tcPr>
            <w:tcW w:type="dxa" w:w="3475"/>
          </w:tcPr>
          <w:p>
            <w:pPr>
              <w:bidi/>
              <w:jc w:val="center"/>
            </w:pPr>
            <w:r/>
            <w:r>
              <w:rPr>
                <w:b w:val="0"/>
                <w:sz w:val="18"/>
              </w:rPr>
              <w:t>~ 10,000</w:t>
            </w:r>
          </w:p>
        </w:tc>
      </w:tr>
      <w:tr>
        <w:tc>
          <w:tcPr>
            <w:tcW w:type="dxa" w:w="3475"/>
          </w:tcPr>
          <w:p>
            <w:pPr>
              <w:bidi/>
              <w:jc w:val="right"/>
            </w:pPr>
            <w:r/>
            <w:r>
              <w:rPr>
                <w:b/>
                <w:sz w:val="18"/>
              </w:rPr>
              <w:t>لوحة إدخال البيانات</w:t>
            </w:r>
          </w:p>
        </w:tc>
        <w:tc>
          <w:tcPr>
            <w:tcW w:type="dxa" w:w="3475"/>
          </w:tcPr>
          <w:p>
            <w:pPr>
              <w:bidi/>
              <w:jc w:val="center"/>
            </w:pPr>
            <w:r/>
            <w:r>
              <w:rPr>
                <w:b w:val="0"/>
                <w:sz w:val="18"/>
              </w:rPr>
              <w:t>لوحة تحكم على الويب بحسابات وصلاحيات: نماذج إدخال المؤشرات والقيادات والتنبيهات والبلاغات، معاينة قبل النشر، سجل تعديلات، تعمل من أي جهاز وتغذي الشاشة لحظياً.</w:t>
            </w:r>
          </w:p>
        </w:tc>
        <w:tc>
          <w:tcPr>
            <w:tcW w:type="dxa" w:w="3475"/>
          </w:tcPr>
          <w:p>
            <w:pPr>
              <w:bidi/>
              <w:jc w:val="center"/>
            </w:pPr>
            <w:r/>
            <w:r>
              <w:rPr>
                <w:b w:val="0"/>
                <w:sz w:val="18"/>
              </w:rPr>
              <w:t>~ 14,000</w:t>
            </w:r>
          </w:p>
        </w:tc>
      </w:tr>
      <w:tr>
        <w:tc>
          <w:tcPr>
            <w:tcW w:type="dxa" w:w="3475"/>
          </w:tcPr>
          <w:p>
            <w:pPr>
              <w:bidi/>
              <w:jc w:val="right"/>
            </w:pPr>
            <w:r/>
            <w:r>
              <w:rPr>
                <w:b/>
                <w:sz w:val="18"/>
              </w:rPr>
              <w:t>التهيئة للشاشة الجدارية والتسليم</w:t>
            </w:r>
          </w:p>
        </w:tc>
        <w:tc>
          <w:tcPr>
            <w:tcW w:type="dxa" w:w="3475"/>
          </w:tcPr>
          <w:p>
            <w:pPr>
              <w:bidi/>
              <w:jc w:val="center"/>
            </w:pPr>
            <w:r/>
            <w:r>
              <w:rPr>
                <w:b w:val="0"/>
                <w:sz w:val="18"/>
              </w:rPr>
              <w:t>النشر على البنية المعتمدة، ضبط الدقة والأداء، اختبار ميداني واستلام.</w:t>
            </w:r>
          </w:p>
        </w:tc>
        <w:tc>
          <w:tcPr>
            <w:tcW w:type="dxa" w:w="3475"/>
          </w:tcPr>
          <w:p>
            <w:pPr>
              <w:bidi/>
              <w:jc w:val="center"/>
            </w:pPr>
            <w:r/>
            <w:r>
              <w:rPr>
                <w:b w:val="0"/>
                <w:sz w:val="18"/>
              </w:rPr>
              <w:t>~ 6,000</w:t>
            </w:r>
          </w:p>
        </w:tc>
      </w:tr>
      <w:tr>
        <w:tc>
          <w:tcPr>
            <w:tcW w:type="dxa" w:w="3475"/>
          </w:tcPr>
          <w:p>
            <w:pPr>
              <w:bidi/>
              <w:jc w:val="right"/>
            </w:pPr>
            <w:r/>
            <w:r>
              <w:rPr>
                <w:b/>
                <w:sz w:val="18"/>
              </w:rPr>
              <w:t>التدريب والتوثيق والدعم</w:t>
            </w:r>
          </w:p>
        </w:tc>
        <w:tc>
          <w:tcPr>
            <w:tcW w:type="dxa" w:w="3475"/>
          </w:tcPr>
          <w:p>
            <w:pPr>
              <w:bidi/>
              <w:jc w:val="center"/>
            </w:pPr>
            <w:r/>
            <w:r>
              <w:rPr>
                <w:b w:val="0"/>
                <w:sz w:val="18"/>
              </w:rPr>
              <w:t>دليل التشغيل وتحديث المحتوى، جلسة تدريب، ودعم ثلاثة أشهر.</w:t>
            </w:r>
          </w:p>
        </w:tc>
        <w:tc>
          <w:tcPr>
            <w:tcW w:type="dxa" w:w="3475"/>
          </w:tcPr>
          <w:p>
            <w:pPr>
              <w:bidi/>
              <w:jc w:val="center"/>
            </w:pPr>
            <w:r/>
            <w:r>
              <w:rPr>
                <w:b w:val="0"/>
                <w:sz w:val="18"/>
              </w:rPr>
              <w:t>~ 5,000</w:t>
            </w:r>
          </w:p>
        </w:tc>
      </w:tr>
      <w:tr>
        <w:tc>
          <w:tcPr>
            <w:tcW w:type="dxa" w:w="3475"/>
          </w:tcPr>
          <w:p>
            <w:pPr>
              <w:bidi/>
              <w:jc w:val="right"/>
            </w:pPr>
            <w:r/>
            <w:r>
              <w:rPr>
                <w:b/>
                <w:sz w:val="18"/>
              </w:rPr>
              <w:t>إدارة المشروع</w:t>
            </w:r>
          </w:p>
        </w:tc>
        <w:tc>
          <w:tcPr>
            <w:tcW w:type="dxa" w:w="3475"/>
          </w:tcPr>
          <w:p>
            <w:pPr>
              <w:bidi/>
              <w:jc w:val="center"/>
            </w:pPr>
            <w:r/>
            <w:r>
              <w:rPr>
                <w:b w:val="0"/>
                <w:sz w:val="18"/>
              </w:rPr>
              <w:t>التنسيق، تقارير التقدم الأسبوعية، وإدارة الاعتمادات.</w:t>
            </w:r>
          </w:p>
        </w:tc>
        <w:tc>
          <w:tcPr>
            <w:tcW w:type="dxa" w:w="3475"/>
          </w:tcPr>
          <w:p>
            <w:pPr>
              <w:bidi/>
              <w:jc w:val="center"/>
            </w:pPr>
            <w:r/>
            <w:r>
              <w:rPr>
                <w:b w:val="0"/>
                <w:sz w:val="18"/>
              </w:rPr>
              <w:t>~ 5,000</w:t>
            </w:r>
          </w:p>
        </w:tc>
      </w:tr>
    </w:tbl>
    <w:p/>
    <w:tbl>
      <w:tblPr>
        <w:tblStyle w:val="TableGrid"/>
        <w:tblW w:type="auto" w:w="0"/>
        <w:tblLook w:firstColumn="1" w:firstRow="1" w:lastColumn="0" w:lastRow="0" w:noHBand="0" w:noVBand="1" w:val="04A0"/>
        <w:bidiVisual/>
      </w:tblPr>
      <w:tblGrid>
        <w:gridCol w:w="5213"/>
        <w:gridCol w:w="5213"/>
      </w:tblGrid>
      <w:tr>
        <w:tc>
          <w:tcPr>
            <w:tcW w:type="dxa" w:w="5213"/>
            <w:shd w:val="clear" w:fill="14222F"/>
          </w:tcPr>
          <w:p>
            <w:pPr>
              <w:bidi/>
              <w:jc w:val="right"/>
            </w:pPr>
            <w:r/>
            <w:r>
              <w:rPr>
                <w:b/>
                <w:color w:val="FFFFFF"/>
                <w:sz w:val="18"/>
              </w:rPr>
              <w:t>البند</w:t>
            </w:r>
          </w:p>
        </w:tc>
        <w:tc>
          <w:tcPr>
            <w:tcW w:type="dxa" w:w="5213"/>
            <w:shd w:val="clear" w:fill="14222F"/>
          </w:tcPr>
          <w:p>
            <w:pPr>
              <w:bidi/>
              <w:jc w:val="center"/>
            </w:pPr>
            <w:r/>
            <w:r>
              <w:rPr>
                <w:b/>
                <w:color w:val="FFFFFF"/>
                <w:sz w:val="18"/>
              </w:rPr>
              <w:t>القيمة (AED)</w:t>
            </w:r>
          </w:p>
        </w:tc>
      </w:tr>
      <w:tr>
        <w:tc>
          <w:tcPr>
            <w:tcW w:type="dxa" w:w="5213"/>
          </w:tcPr>
          <w:p>
            <w:pPr>
              <w:bidi/>
              <w:jc w:val="right"/>
            </w:pPr>
            <w:r/>
            <w:r>
              <w:rPr>
                <w:b/>
                <w:sz w:val="18"/>
              </w:rPr>
              <w:t>الإجمالي التقديري · Indicative subtotal</w:t>
            </w:r>
          </w:p>
        </w:tc>
        <w:tc>
          <w:tcPr>
            <w:tcW w:type="dxa" w:w="5213"/>
          </w:tcPr>
          <w:p>
            <w:pPr>
              <w:bidi/>
              <w:jc w:val="center"/>
            </w:pPr>
            <w:r/>
            <w:r>
              <w:rPr>
                <w:b w:val="0"/>
                <w:sz w:val="18"/>
              </w:rPr>
              <w:t>AED ~ 70,000</w:t>
            </w:r>
          </w:p>
        </w:tc>
      </w:tr>
      <w:tr>
        <w:tc>
          <w:tcPr>
            <w:tcW w:type="dxa" w:w="5213"/>
          </w:tcPr>
          <w:p>
            <w:pPr>
              <w:bidi/>
              <w:jc w:val="right"/>
            </w:pPr>
            <w:r/>
            <w:r>
              <w:rPr>
                <w:b/>
                <w:sz w:val="18"/>
              </w:rPr>
              <w:t>ضريبة القيمة المضافة (5%) · VAT</w:t>
            </w:r>
          </w:p>
        </w:tc>
        <w:tc>
          <w:tcPr>
            <w:tcW w:type="dxa" w:w="5213"/>
          </w:tcPr>
          <w:p>
            <w:pPr>
              <w:bidi/>
              <w:jc w:val="center"/>
            </w:pPr>
            <w:r/>
            <w:r>
              <w:rPr>
                <w:b w:val="0"/>
                <w:sz w:val="18"/>
              </w:rPr>
              <w:t>AED ~ 3,500</w:t>
            </w:r>
          </w:p>
        </w:tc>
      </w:tr>
      <w:tr>
        <w:tc>
          <w:tcPr>
            <w:tcW w:type="dxa" w:w="5213"/>
          </w:tcPr>
          <w:p>
            <w:pPr>
              <w:bidi/>
              <w:jc w:val="right"/>
            </w:pPr>
            <w:r/>
            <w:r>
              <w:rPr>
                <w:b/>
                <w:sz w:val="18"/>
              </w:rPr>
              <w:t>الإجمالي التقديري شامل الضريبة</w:t>
            </w:r>
          </w:p>
        </w:tc>
        <w:tc>
          <w:tcPr>
            <w:tcW w:type="dxa" w:w="5213"/>
          </w:tcPr>
          <w:p>
            <w:pPr>
              <w:bidi/>
              <w:jc w:val="center"/>
            </w:pPr>
            <w:r/>
            <w:r>
              <w:rPr>
                <w:b w:val="0"/>
                <w:sz w:val="18"/>
              </w:rPr>
              <w:t>AED ~ 73,500</w:t>
            </w:r>
          </w:p>
        </w:tc>
      </w:tr>
    </w:tbl>
    <w:tbl>
      <w:tblPr>
        <w:tblStyle w:val="TableGrid"/>
        <w:tblW w:type="auto" w:w="0"/>
        <w:tblLook w:firstColumn="1" w:firstRow="1" w:lastColumn="0" w:lastRow="0" w:noHBand="0" w:noVBand="1" w:val="04A0"/>
        <w:bidiVisual/>
      </w:tblPr>
      <w:tblGrid>
        <w:gridCol w:w="10426"/>
      </w:tblGrid>
      <w:tr>
        <w:tc>
          <w:tcPr>
            <w:tcW w:type="dxa" w:w="10426"/>
            <w:shd w:val="clear" w:fill="FBF1E4"/>
          </w:tcPr>
          <w:p>
            <w:pPr>
              <w:bidi/>
              <w:jc w:val="right"/>
            </w:pPr>
            <w:r/>
            <w:r>
              <w:rPr>
                <w:b w:val="0"/>
                <w:sz w:val="17"/>
              </w:rPr>
              <w:t>طبيعة الأرقام: القيم أعلاه تقديرية بهامش ±15% بحسب النطاق النهائي وعدد السيناريوهات ومصدر البيانات، وتُثبَّت في عرض رسمي بعد ورشة النطاق واعتماد المتطلبات.</w:t>
            </w:r>
          </w:p>
        </w:tc>
      </w:tr>
    </w:tbl>
    <w:tbl>
      <w:tblPr>
        <w:tblStyle w:val="TableGrid"/>
        <w:tblW w:type="auto" w:w="0"/>
        <w:tblLook w:firstColumn="1" w:firstRow="1" w:lastColumn="0" w:lastRow="0" w:noHBand="0" w:noVBand="1" w:val="04A0"/>
        <w:bidiVisual/>
      </w:tblPr>
      <w:tblGrid>
        <w:gridCol w:w="10426"/>
      </w:tblGrid>
      <w:tr>
        <w:tc>
          <w:tcPr>
            <w:tcW w:type="dxa" w:w="10426"/>
            <w:shd w:val="clear" w:fill="F2EEFB"/>
          </w:tcPr>
          <w:p>
            <w:pPr>
              <w:bidi/>
              <w:jc w:val="right"/>
            </w:pPr>
            <w:r/>
            <w:r>
              <w:rPr>
                <w:b w:val="0"/>
                <w:sz w:val="17"/>
              </w:rPr>
              <w:t>الضريبة: الأسعار غير شاملة لضريبة القيمة المضافة (5%)، وتُضاف إن انطبقت. Prices exclude 5% VAT; added where applicable.</w:t>
            </w:r>
          </w:p>
        </w:tc>
      </w:tr>
    </w:tbl>
    <w:p>
      <w:pPr>
        <w:bidi/>
        <w:jc w:val="right"/>
      </w:pPr>
      <w:r>
        <w:rPr>
          <w:b/>
          <w:color w:val="5B3FD6"/>
          <w:sz w:val="24"/>
        </w:rPr>
        <w:t>3 · الجدول الزمني التقديري</w:t>
      </w:r>
      <w:r>
        <w:rPr>
          <w:color w:val="5A6B78"/>
          <w:sz w:val="17"/>
        </w:rPr>
        <w:t xml:space="preserve">   Indicative Timeline</w:t>
      </w:r>
    </w:p>
    <w:tbl>
      <w:tblPr>
        <w:tblStyle w:val="TableGrid"/>
        <w:tblW w:type="auto" w:w="0"/>
        <w:tblLook w:firstColumn="1" w:firstRow="1" w:lastColumn="0" w:lastRow="0" w:noHBand="0" w:noVBand="1" w:val="04A0"/>
        <w:bidiVisual/>
      </w:tblPr>
      <w:tblGrid>
        <w:gridCol w:w="3475"/>
        <w:gridCol w:w="3475"/>
        <w:gridCol w:w="3475"/>
      </w:tblGrid>
      <w:tr>
        <w:tc>
          <w:tcPr>
            <w:tcW w:type="dxa" w:w="3475"/>
            <w:shd w:val="clear" w:fill="14222F"/>
          </w:tcPr>
          <w:p>
            <w:pPr>
              <w:bidi/>
              <w:jc w:val="right"/>
            </w:pPr>
            <w:r/>
            <w:r>
              <w:rPr>
                <w:b/>
                <w:color w:val="FFFFFF"/>
                <w:sz w:val="18"/>
              </w:rPr>
              <w:t>المرحلة</w:t>
            </w:r>
          </w:p>
        </w:tc>
        <w:tc>
          <w:tcPr>
            <w:tcW w:type="dxa" w:w="3475"/>
            <w:shd w:val="clear" w:fill="14222F"/>
          </w:tcPr>
          <w:p>
            <w:pPr>
              <w:bidi/>
              <w:jc w:val="center"/>
            </w:pPr>
            <w:r/>
            <w:r>
              <w:rPr>
                <w:b/>
                <w:color w:val="FFFFFF"/>
                <w:sz w:val="18"/>
              </w:rPr>
              <w:t>الأسابيع</w:t>
            </w:r>
          </w:p>
        </w:tc>
        <w:tc>
          <w:tcPr>
            <w:tcW w:type="dxa" w:w="3475"/>
            <w:shd w:val="clear" w:fill="14222F"/>
          </w:tcPr>
          <w:p>
            <w:pPr>
              <w:bidi/>
              <w:jc w:val="center"/>
            </w:pPr>
            <w:r/>
            <w:r>
              <w:rPr>
                <w:b/>
                <w:color w:val="FFFFFF"/>
                <w:sz w:val="18"/>
              </w:rPr>
              <w:t>المخرجات</w:t>
            </w:r>
          </w:p>
        </w:tc>
      </w:tr>
      <w:tr>
        <w:tc>
          <w:tcPr>
            <w:tcW w:type="dxa" w:w="3475"/>
          </w:tcPr>
          <w:p>
            <w:pPr>
              <w:bidi/>
              <w:jc w:val="right"/>
            </w:pPr>
            <w:r/>
            <w:r>
              <w:rPr>
                <w:b/>
                <w:sz w:val="18"/>
              </w:rPr>
              <w:t>النطاق والسيناريو</w:t>
            </w:r>
          </w:p>
        </w:tc>
        <w:tc>
          <w:tcPr>
            <w:tcW w:type="dxa" w:w="3475"/>
          </w:tcPr>
          <w:p>
            <w:pPr>
              <w:bidi/>
              <w:jc w:val="center"/>
            </w:pPr>
            <w:r/>
            <w:r>
              <w:rPr>
                <w:b w:val="0"/>
                <w:sz w:val="18"/>
              </w:rPr>
              <w:t>1–2</w:t>
            </w:r>
          </w:p>
        </w:tc>
        <w:tc>
          <w:tcPr>
            <w:tcW w:type="dxa" w:w="3475"/>
          </w:tcPr>
          <w:p>
            <w:pPr>
              <w:bidi/>
              <w:jc w:val="center"/>
            </w:pPr>
            <w:r/>
            <w:r>
              <w:rPr>
                <w:b w:val="0"/>
                <w:sz w:val="18"/>
              </w:rPr>
              <w:t>ورشة، لوحة القصة، اعتماد المؤشرات</w:t>
            </w:r>
          </w:p>
        </w:tc>
      </w:tr>
      <w:tr>
        <w:tc>
          <w:tcPr>
            <w:tcW w:type="dxa" w:w="3475"/>
          </w:tcPr>
          <w:p>
            <w:pPr>
              <w:bidi/>
              <w:jc w:val="right"/>
            </w:pPr>
            <w:r/>
            <w:r>
              <w:rPr>
                <w:b/>
                <w:sz w:val="18"/>
              </w:rPr>
              <w:t>بناء التوأم الرقمي</w:t>
            </w:r>
          </w:p>
        </w:tc>
        <w:tc>
          <w:tcPr>
            <w:tcW w:type="dxa" w:w="3475"/>
          </w:tcPr>
          <w:p>
            <w:pPr>
              <w:bidi/>
              <w:jc w:val="center"/>
            </w:pPr>
            <w:r/>
            <w:r>
              <w:rPr>
                <w:b w:val="0"/>
                <w:sz w:val="18"/>
              </w:rPr>
              <w:t>3–6</w:t>
            </w:r>
          </w:p>
        </w:tc>
        <w:tc>
          <w:tcPr>
            <w:tcW w:type="dxa" w:w="3475"/>
          </w:tcPr>
          <w:p>
            <w:pPr>
              <w:bidi/>
              <w:jc w:val="center"/>
            </w:pPr>
            <w:r/>
            <w:r>
              <w:rPr>
                <w:b w:val="0"/>
                <w:sz w:val="18"/>
              </w:rPr>
              <w:t>النموذج ثلاثي الأبعاد، الفصول، طبقة الوكلاء</w:t>
            </w:r>
          </w:p>
        </w:tc>
      </w:tr>
      <w:tr>
        <w:tc>
          <w:tcPr>
            <w:tcW w:type="dxa" w:w="3475"/>
          </w:tcPr>
          <w:p>
            <w:pPr>
              <w:bidi/>
              <w:jc w:val="right"/>
            </w:pPr>
            <w:r/>
            <w:r>
              <w:rPr>
                <w:b/>
                <w:sz w:val="18"/>
              </w:rPr>
              <w:t>لوحة إدخال البيانات</w:t>
            </w:r>
          </w:p>
        </w:tc>
        <w:tc>
          <w:tcPr>
            <w:tcW w:type="dxa" w:w="3475"/>
          </w:tcPr>
          <w:p>
            <w:pPr>
              <w:bidi/>
              <w:jc w:val="center"/>
            </w:pPr>
            <w:r/>
            <w:r>
              <w:rPr>
                <w:b w:val="0"/>
                <w:sz w:val="18"/>
              </w:rPr>
              <w:t>7–8</w:t>
            </w:r>
          </w:p>
        </w:tc>
        <w:tc>
          <w:tcPr>
            <w:tcW w:type="dxa" w:w="3475"/>
          </w:tcPr>
          <w:p>
            <w:pPr>
              <w:bidi/>
              <w:jc w:val="center"/>
            </w:pPr>
            <w:r/>
            <w:r>
              <w:rPr>
                <w:b w:val="0"/>
                <w:sz w:val="18"/>
              </w:rPr>
              <w:t>الحسابات، النماذج، المعاينة، الاختبار</w:t>
            </w:r>
          </w:p>
        </w:tc>
      </w:tr>
      <w:tr>
        <w:tc>
          <w:tcPr>
            <w:tcW w:type="dxa" w:w="3475"/>
          </w:tcPr>
          <w:p>
            <w:pPr>
              <w:bidi/>
              <w:jc w:val="right"/>
            </w:pPr>
            <w:r/>
            <w:r>
              <w:rPr>
                <w:b/>
                <w:sz w:val="18"/>
              </w:rPr>
              <w:t>التسليم</w:t>
            </w:r>
          </w:p>
        </w:tc>
        <w:tc>
          <w:tcPr>
            <w:tcW w:type="dxa" w:w="3475"/>
          </w:tcPr>
          <w:p>
            <w:pPr>
              <w:bidi/>
              <w:jc w:val="center"/>
            </w:pPr>
            <w:r/>
            <w:r>
              <w:rPr>
                <w:b w:val="0"/>
                <w:sz w:val="18"/>
              </w:rPr>
              <w:t>9–10</w:t>
            </w:r>
          </w:p>
        </w:tc>
        <w:tc>
          <w:tcPr>
            <w:tcW w:type="dxa" w:w="3475"/>
          </w:tcPr>
          <w:p>
            <w:pPr>
              <w:bidi/>
              <w:jc w:val="center"/>
            </w:pPr>
            <w:r/>
            <w:r>
              <w:rPr>
                <w:b w:val="0"/>
                <w:sz w:val="18"/>
              </w:rPr>
              <w:t>الشاشة الجدارية، التدريب، الاستلام</w:t>
            </w:r>
          </w:p>
        </w:tc>
      </w:tr>
    </w:tbl>
    <w:p>
      <w:pPr>
        <w:bidi/>
        <w:jc w:val="right"/>
      </w:pPr>
      <w:r>
        <w:rPr>
          <w:b/>
          <w:color w:val="5B3FD6"/>
          <w:sz w:val="24"/>
        </w:rPr>
        <w:t>4 · الافتراضات وما هو خارج النطاق</w:t>
      </w:r>
      <w:r>
        <w:rPr>
          <w:color w:val="5A6B78"/>
          <w:sz w:val="17"/>
        </w:rPr>
        <w:t xml:space="preserve">   Assumptions &amp; Exclusions</w:t>
      </w:r>
    </w:p>
    <w:p>
      <w:pPr>
        <w:pStyle w:val="ListBullet"/>
        <w:bidi/>
        <w:jc w:val="right"/>
      </w:pPr>
      <w:r>
        <w:rPr>
          <w:sz w:val="19"/>
        </w:rPr>
        <w:t>البيانات تُدخَل يدوياً عبر لوحة الإدخال أو تُستورد من ملفات (Excel / CSV)؛ لا يشمل هذا التقدير أي ربط مباشر بأنظمة الوزارة.</w:t>
      </w:r>
    </w:p>
    <w:p>
      <w:pPr>
        <w:pStyle w:val="ListBullet"/>
        <w:bidi/>
        <w:jc w:val="right"/>
      </w:pPr>
      <w:r>
        <w:rPr>
          <w:sz w:val="19"/>
        </w:rPr>
        <w:t>اعتماد المحتوى والسيناريوهات من مكتب سمو الوزير خلال 5 أيام عمل لكل مرحلة.</w:t>
      </w:r>
    </w:p>
    <w:p>
      <w:pPr>
        <w:pStyle w:val="ListBullet"/>
        <w:bidi/>
        <w:jc w:val="right"/>
      </w:pPr>
      <w:r>
        <w:rPr>
          <w:sz w:val="19"/>
        </w:rPr>
        <w:t>النشر على بنية سحابية أو داخلية يحددها الطرف الأول؛ تُحتسب رسوم الاستضافة وخدمات الخرائط (Google Maps Platform) بحسب الاستخدام الفعلي وخارج هذا التقدير.</w:t>
      </w:r>
    </w:p>
    <w:p>
      <w:pPr>
        <w:pStyle w:val="ListBullet"/>
        <w:bidi/>
        <w:jc w:val="right"/>
      </w:pPr>
      <w:r>
        <w:rPr>
          <w:sz w:val="19"/>
        </w:rPr>
        <w:t>خارج النطاق: أجهزة الشاشة الجدارية ووحدات التحكم؛ تطوير أو تدريب نماذج ذكاء اصطناعي فعلية؛ لغات أو سيناريوهات إضافية (تُقدَّر على حدة).</w:t>
      </w:r>
    </w:p>
    <w:p>
      <w:pPr>
        <w:pStyle w:val="ListBullet"/>
        <w:bidi/>
        <w:jc w:val="right"/>
      </w:pPr>
      <w:r>
        <w:rPr>
          <w:sz w:val="19"/>
        </w:rPr>
        <w:t>التكامل مع الأنظمة الحكومية (ربط مباشر بمصادر بيانات الوزارة) — خيار منفصل يُقدَّر بعد ورشة تقنية؛ انظر القسم 5.</w:t>
      </w:r>
    </w:p>
    <w:p>
      <w:pPr>
        <w:bidi/>
        <w:jc w:val="right"/>
      </w:pPr>
      <w:r>
        <w:rPr>
          <w:b/>
          <w:color w:val="5B3FD6"/>
          <w:sz w:val="24"/>
        </w:rPr>
        <w:t>5 · خيار منفصل: التكامل مع الأنظمة الحكومية</w:t>
      </w:r>
      <w:r>
        <w:rPr>
          <w:color w:val="5A6B78"/>
          <w:sz w:val="17"/>
        </w:rPr>
        <w:t xml:space="preserve">   Optional add-on: government systems integration</w:t>
      </w:r>
    </w:p>
    <w:p>
      <w:pPr>
        <w:bidi/>
        <w:jc w:val="right"/>
      </w:pPr>
      <w:r>
        <w:rPr>
          <w:b w:val="0"/>
          <w:color w:val="5A6B78"/>
          <w:sz w:val="19"/>
        </w:rPr>
        <w:t>ربط الشاشة مباشرة بمصادر بيانات الوزارة يتطلب موافقات أمنية وقنوات خاصة واختبارات مع فرق تقنية المعلومات، لذلك يُقدَّر على حدة بعد ورشة تقنية ويُنفَّذ كمرحلة مستقلة. اللوحة تعمل كاملةً بلوحة الإدخال دون هذا الخيار.</w:t>
      </w:r>
    </w:p>
    <w:tbl>
      <w:tblPr>
        <w:tblStyle w:val="TableGrid"/>
        <w:tblW w:type="auto" w:w="0"/>
        <w:tblLook w:firstColumn="1" w:firstRow="1" w:lastColumn="0" w:lastRow="0" w:noHBand="0" w:noVBand="1" w:val="04A0"/>
        <w:bidiVisual/>
      </w:tblPr>
      <w:tblGrid>
        <w:gridCol w:w="3475"/>
        <w:gridCol w:w="3475"/>
        <w:gridCol w:w="3475"/>
      </w:tblGrid>
      <w:tr>
        <w:tc>
          <w:tcPr>
            <w:tcW w:type="dxa" w:w="3475"/>
            <w:shd w:val="clear" w:fill="14222F"/>
          </w:tcPr>
          <w:p>
            <w:pPr>
              <w:bidi/>
              <w:jc w:val="right"/>
            </w:pPr>
            <w:r/>
            <w:r>
              <w:rPr>
                <w:b/>
                <w:color w:val="FFFFFF"/>
                <w:sz w:val="18"/>
              </w:rPr>
              <w:t>البند</w:t>
            </w:r>
          </w:p>
        </w:tc>
        <w:tc>
          <w:tcPr>
            <w:tcW w:type="dxa" w:w="3475"/>
            <w:shd w:val="clear" w:fill="14222F"/>
          </w:tcPr>
          <w:p>
            <w:pPr>
              <w:bidi/>
              <w:jc w:val="center"/>
            </w:pPr>
            <w:r/>
            <w:r>
              <w:rPr>
                <w:b/>
                <w:color w:val="FFFFFF"/>
                <w:sz w:val="18"/>
              </w:rPr>
              <w:t>الوصف</w:t>
            </w:r>
          </w:p>
        </w:tc>
        <w:tc>
          <w:tcPr>
            <w:tcW w:type="dxa" w:w="3475"/>
            <w:shd w:val="clear" w:fill="14222F"/>
          </w:tcPr>
          <w:p>
            <w:pPr>
              <w:bidi/>
              <w:jc w:val="center"/>
            </w:pPr>
            <w:r/>
            <w:r>
              <w:rPr>
                <w:b/>
                <w:color w:val="FFFFFF"/>
                <w:sz w:val="18"/>
              </w:rPr>
              <w:t>التقدير (AED)</w:t>
            </w:r>
          </w:p>
        </w:tc>
      </w:tr>
      <w:tr>
        <w:tc>
          <w:tcPr>
            <w:tcW w:type="dxa" w:w="3475"/>
          </w:tcPr>
          <w:p>
            <w:pPr>
              <w:bidi/>
              <w:jc w:val="right"/>
            </w:pPr>
            <w:r/>
            <w:r>
              <w:rPr>
                <w:b/>
                <w:sz w:val="18"/>
              </w:rPr>
              <w:t>التكامل مع النظام الأول</w:t>
            </w:r>
          </w:p>
        </w:tc>
        <w:tc>
          <w:tcPr>
            <w:tcW w:type="dxa" w:w="3475"/>
          </w:tcPr>
          <w:p>
            <w:pPr>
              <w:bidi/>
              <w:jc w:val="center"/>
            </w:pPr>
            <w:r/>
            <w:r>
              <w:rPr>
                <w:b w:val="0"/>
                <w:sz w:val="18"/>
              </w:rPr>
              <w:t>ورشة تقنية، المراجعة الأمنية والموافقات، قناة اتصال خاصة (VPN / Private Link)، موصّل بيانات، مواءمة الحقول، اختبار مشترك مع تقنية المعلومات، وثائق التسليم.</w:t>
            </w:r>
          </w:p>
        </w:tc>
        <w:tc>
          <w:tcPr>
            <w:tcW w:type="dxa" w:w="3475"/>
          </w:tcPr>
          <w:p>
            <w:pPr>
              <w:bidi/>
              <w:jc w:val="center"/>
            </w:pPr>
            <w:r/>
            <w:r>
              <w:rPr>
                <w:b w:val="0"/>
                <w:sz w:val="18"/>
              </w:rPr>
              <w:t>من ~ 60,000</w:t>
            </w:r>
          </w:p>
        </w:tc>
      </w:tr>
      <w:tr>
        <w:tc>
          <w:tcPr>
            <w:tcW w:type="dxa" w:w="3475"/>
          </w:tcPr>
          <w:p>
            <w:pPr>
              <w:bidi/>
              <w:jc w:val="right"/>
            </w:pPr>
            <w:r/>
            <w:r>
              <w:rPr>
                <w:b/>
                <w:sz w:val="18"/>
              </w:rPr>
              <w:t>كل نظام إضافي</w:t>
            </w:r>
          </w:p>
        </w:tc>
        <w:tc>
          <w:tcPr>
            <w:tcW w:type="dxa" w:w="3475"/>
          </w:tcPr>
          <w:p>
            <w:pPr>
              <w:bidi/>
              <w:jc w:val="center"/>
            </w:pPr>
            <w:r/>
            <w:r>
              <w:rPr>
                <w:b w:val="0"/>
                <w:sz w:val="18"/>
              </w:rPr>
              <w:t>موصّل ومواءمة واختبار لنظام آخر على القناة نفسها.</w:t>
            </w:r>
          </w:p>
        </w:tc>
        <w:tc>
          <w:tcPr>
            <w:tcW w:type="dxa" w:w="3475"/>
          </w:tcPr>
          <w:p>
            <w:pPr>
              <w:bidi/>
              <w:jc w:val="center"/>
            </w:pPr>
            <w:r/>
            <w:r>
              <w:rPr>
                <w:b w:val="0"/>
                <w:sz w:val="18"/>
              </w:rPr>
              <w:t>~ 25,000</w:t>
            </w:r>
          </w:p>
        </w:tc>
      </w:tr>
      <w:tr>
        <w:tc>
          <w:tcPr>
            <w:tcW w:type="dxa" w:w="3475"/>
          </w:tcPr>
          <w:p>
            <w:pPr>
              <w:bidi/>
              <w:jc w:val="right"/>
            </w:pPr>
            <w:r/>
            <w:r>
              <w:rPr>
                <w:b/>
                <w:sz w:val="18"/>
              </w:rPr>
              <w:t>صيانة التكامل السنوية</w:t>
            </w:r>
          </w:p>
        </w:tc>
        <w:tc>
          <w:tcPr>
            <w:tcW w:type="dxa" w:w="3475"/>
          </w:tcPr>
          <w:p>
            <w:pPr>
              <w:bidi/>
              <w:jc w:val="center"/>
            </w:pPr>
            <w:r/>
            <w:r>
              <w:rPr>
                <w:b w:val="0"/>
                <w:sz w:val="18"/>
              </w:rPr>
              <w:t>متابعة تغيّر الحقول والشهادات والانقطاعات، بالتنسيق مع الفرق التقنية.</w:t>
            </w:r>
          </w:p>
        </w:tc>
        <w:tc>
          <w:tcPr>
            <w:tcW w:type="dxa" w:w="3475"/>
          </w:tcPr>
          <w:p>
            <w:pPr>
              <w:bidi/>
              <w:jc w:val="center"/>
            </w:pPr>
            <w:r/>
            <w:r>
              <w:rPr>
                <w:b w:val="0"/>
                <w:sz w:val="18"/>
              </w:rPr>
              <w:t>~ 12,000 / سنة</w:t>
            </w:r>
          </w:p>
        </w:tc>
      </w:tr>
    </w:tbl>
    <w:p>
      <w:pPr>
        <w:bidi/>
        <w:jc w:val="right"/>
      </w:pPr>
      <w:r>
        <w:rPr>
          <w:b/>
          <w:color w:val="5B3FD6"/>
          <w:sz w:val="24"/>
        </w:rPr>
        <w:t>6 · الشروط المقترحة</w:t>
      </w:r>
      <w:r>
        <w:rPr>
          <w:color w:val="5A6B78"/>
          <w:sz w:val="17"/>
        </w:rPr>
        <w:t xml:space="preserve">   Proposed Terms</w:t>
      </w:r>
    </w:p>
    <w:tbl>
      <w:tblPr>
        <w:tblStyle w:val="TableGrid"/>
        <w:tblW w:type="auto" w:w="0"/>
        <w:tblLook w:firstColumn="1" w:firstRow="1" w:lastColumn="0" w:lastRow="0" w:noHBand="0" w:noVBand="1" w:val="04A0"/>
        <w:bidiVisual/>
      </w:tblPr>
      <w:tblGrid>
        <w:gridCol w:w="5213"/>
        <w:gridCol w:w="5213"/>
      </w:tblGrid>
      <w:tr>
        <w:tc>
          <w:tcPr>
            <w:tcW w:type="dxa" w:w="5213"/>
            <w:shd w:val="clear" w:fill="14222F"/>
          </w:tcPr>
          <w:p>
            <w:pPr>
              <w:bidi/>
              <w:jc w:val="right"/>
            </w:pPr>
            <w:r/>
            <w:r>
              <w:rPr>
                <w:b/>
                <w:color w:val="FFFFFF"/>
                <w:sz w:val="18"/>
              </w:rPr>
              <w:t>البند</w:t>
            </w:r>
          </w:p>
        </w:tc>
        <w:tc>
          <w:tcPr>
            <w:tcW w:type="dxa" w:w="5213"/>
            <w:shd w:val="clear" w:fill="14222F"/>
          </w:tcPr>
          <w:p>
            <w:pPr>
              <w:bidi/>
              <w:jc w:val="center"/>
            </w:pPr>
            <w:r/>
            <w:r>
              <w:rPr>
                <w:b/>
                <w:color w:val="FFFFFF"/>
                <w:sz w:val="18"/>
              </w:rPr>
              <w:t>التفصيل</w:t>
            </w:r>
          </w:p>
        </w:tc>
      </w:tr>
      <w:tr>
        <w:tc>
          <w:tcPr>
            <w:tcW w:type="dxa" w:w="5213"/>
          </w:tcPr>
          <w:p>
            <w:pPr>
              <w:bidi/>
              <w:jc w:val="right"/>
            </w:pPr>
            <w:r/>
            <w:r>
              <w:rPr>
                <w:b/>
                <w:sz w:val="18"/>
              </w:rPr>
              <w:t>الدفع المقترح</w:t>
            </w:r>
          </w:p>
        </w:tc>
        <w:tc>
          <w:tcPr>
            <w:tcW w:type="dxa" w:w="5213"/>
          </w:tcPr>
          <w:p>
            <w:pPr>
              <w:bidi/>
              <w:jc w:val="center"/>
            </w:pPr>
            <w:r/>
            <w:r>
              <w:rPr>
                <w:b w:val="0"/>
                <w:sz w:val="18"/>
              </w:rPr>
              <w:t>40% عند بدء العمل · 40% عند اعتماد النموذج · 20% عند التسليم</w:t>
            </w:r>
          </w:p>
        </w:tc>
      </w:tr>
      <w:tr>
        <w:tc>
          <w:tcPr>
            <w:tcW w:type="dxa" w:w="5213"/>
          </w:tcPr>
          <w:p>
            <w:pPr>
              <w:bidi/>
              <w:jc w:val="right"/>
            </w:pPr>
            <w:r/>
            <w:r>
              <w:rPr>
                <w:b/>
                <w:sz w:val="18"/>
              </w:rPr>
              <w:t>المدة</w:t>
            </w:r>
          </w:p>
        </w:tc>
        <w:tc>
          <w:tcPr>
            <w:tcW w:type="dxa" w:w="5213"/>
          </w:tcPr>
          <w:p>
            <w:pPr>
              <w:bidi/>
              <w:jc w:val="center"/>
            </w:pPr>
            <w:r/>
            <w:r>
              <w:rPr>
                <w:b w:val="0"/>
                <w:sz w:val="18"/>
              </w:rPr>
              <w:t>8–10 أسابيع من اعتماد النطاق</w:t>
            </w:r>
          </w:p>
        </w:tc>
      </w:tr>
      <w:tr>
        <w:tc>
          <w:tcPr>
            <w:tcW w:type="dxa" w:w="5213"/>
          </w:tcPr>
          <w:p>
            <w:pPr>
              <w:bidi/>
              <w:jc w:val="right"/>
            </w:pPr>
            <w:r/>
            <w:r>
              <w:rPr>
                <w:b/>
                <w:sz w:val="18"/>
              </w:rPr>
              <w:t>الملكية</w:t>
            </w:r>
          </w:p>
        </w:tc>
        <w:tc>
          <w:tcPr>
            <w:tcW w:type="dxa" w:w="5213"/>
          </w:tcPr>
          <w:p>
            <w:pPr>
              <w:bidi/>
              <w:jc w:val="center"/>
            </w:pPr>
            <w:r/>
            <w:r>
              <w:rPr>
                <w:b w:val="0"/>
                <w:sz w:val="18"/>
              </w:rPr>
              <w:t>حقوق الاستخدام الكامل للوزارة؛ مكونات المنصة العامة تبقى للمطوّر</w:t>
            </w:r>
          </w:p>
        </w:tc>
      </w:tr>
    </w:tbl>
    <w:p/>
    <w:tbl>
      <w:tblPr>
        <w:tblStyle w:val="TableGrid"/>
        <w:tblW w:type="auto" w:w="0"/>
        <w:tblLook w:firstColumn="1" w:firstRow="1" w:lastColumn="0" w:lastRow="0" w:noHBand="0" w:noVBand="1" w:val="04A0"/>
        <w:bidiVisual/>
      </w:tblPr>
      <w:tblGrid>
        <w:gridCol w:w="5213"/>
        <w:gridCol w:w="5213"/>
      </w:tblGrid>
      <w:tr>
        <w:tc>
          <w:tcPr>
            <w:tcW w:type="dxa" w:w="5213"/>
          </w:tcPr>
          <w:p>
            <w:pPr>
              <w:bidi/>
              <w:jc w:val="right"/>
            </w:pPr>
            <w:r/>
            <w:r>
              <w:rPr>
                <w:b/>
                <w:sz w:val="18"/>
              </w:rPr>
              <w:t>عن AVI TECH</w:t>
            </w:r>
          </w:p>
        </w:tc>
        <w:tc>
          <w:tcPr>
            <w:tcW w:type="dxa" w:w="5213"/>
          </w:tcPr>
          <w:p>
            <w:pPr>
              <w:bidi/>
              <w:jc w:val="right"/>
            </w:pPr>
            <w:r/>
            <w:r>
              <w:rPr>
                <w:b/>
                <w:sz w:val="18"/>
              </w:rPr>
              <w:t>ملاحظات الوزارة · MOI remarks</w:t>
            </w:r>
          </w:p>
        </w:tc>
      </w:tr>
      <w:tr>
        <w:tc>
          <w:tcPr>
            <w:tcW w:type="dxa" w:w="5213"/>
          </w:tcPr>
          <w:p>
            <w:pPr>
              <w:bidi/>
              <w:jc w:val="right"/>
            </w:pPr>
            <w:r/>
            <w:r>
              <w:rPr>
                <w:b w:val="0"/>
                <w:sz w:val="18"/>
              </w:rPr>
              <w:br/>
              <w:t>الاسم · التوقيع · التاريخ</w:t>
            </w:r>
          </w:p>
        </w:tc>
        <w:tc>
          <w:tcPr>
            <w:tcW w:type="dxa" w:w="5213"/>
          </w:tcPr>
          <w:p>
            <w:pPr>
              <w:bidi/>
              <w:jc w:val="right"/>
            </w:pPr>
            <w:r/>
            <w:r>
              <w:rPr>
                <w:b w:val="0"/>
                <w:sz w:val="18"/>
              </w:rPr>
              <w:br/>
              <w:t>الاسم · التوقيع · التاريخ</w:t>
            </w:r>
          </w:p>
        </w:tc>
      </w:tr>
    </w:tbl>
    <w:sectPr w:rsidR="00FC693F" w:rsidRPr="0006063C" w:rsidSect="00034616">
      <w:pgSz w:w="12240" w:h="15840"/>
      <w:pgMar w:top="794" w:right="907" w:bottom="794" w:left="907" w:header="720" w:footer="720" w:gutter="0"/>
      <w:cols w:space="720"/>
      <w:docGrid w:linePitch="360"/>
      <w:bidi/>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