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bidi/>
        <w:jc w:val="right"/>
      </w:pPr>
      <w:r>
        <w:rPr>
          <w:b/>
          <w:color w:val="5B3FD6"/>
          <w:sz w:val="38"/>
        </w:rPr>
        <w:t>AVI TECH</w:t>
      </w:r>
    </w:p>
    <w:p>
      <w:pPr>
        <w:bidi/>
        <w:jc w:val="right"/>
      </w:pPr>
      <w:r>
        <w:rPr>
          <w:b/>
          <w:color w:val="14222F"/>
          <w:sz w:val="26"/>
        </w:rPr>
        <w:t>باقات السيناريوهات والدعم · SCENARIO &amp; SUPPORT PACKAGES</w:t>
      </w:r>
    </w:p>
    <w:p>
      <w:pPr>
        <w:bidi/>
        <w:jc w:val="right"/>
      </w:pPr>
      <w:r>
        <w:rPr>
          <w:b w:val="0"/>
          <w:color w:val="5A6B78"/>
          <w:sz w:val="18"/>
        </w:rPr>
        <w:t>المرجع: [ AVI-E-2026-015 ]   ·   التاريخ: [ 16 / 09 / 2026 ]   ·   يكمّل التقدير الأساسي AVI-E-2026-014   ·   الإصدار 0.1</w:t>
      </w:r>
    </w:p>
    <w:p>
      <w:pPr>
        <w:bidi/>
        <w:jc w:val="right"/>
      </w:pPr>
      <w:r>
        <w:rPr>
          <w:b/>
          <w:color w:val="8A5410"/>
          <w:sz w:val="18"/>
        </w:rPr>
        <w:t>الحالة: تقديري · يُثبَّت بعد اعتماد النطاق النهائي</w:t>
      </w:r>
    </w:p>
    <w:tbl>
      <w:tblPr>
        <w:tblStyle w:val="TableGrid"/>
        <w:tblW w:type="auto" w:w="0"/>
        <w:tblLook w:firstColumn="1" w:firstRow="1" w:lastColumn="0" w:lastRow="0" w:noHBand="0" w:noVBand="1" w:val="04A0"/>
        <w:bidiVisual/>
      </w:tblPr>
      <w:tblGrid>
        <w:gridCol w:w="5213"/>
        <w:gridCol w:w="5213"/>
      </w:tblGrid>
      <w:tr>
        <w:tc>
          <w:tcPr>
            <w:tcW w:type="dxa" w:w="5213"/>
          </w:tcPr>
          <w:p>
            <w:pPr>
              <w:bidi/>
              <w:jc w:val="right"/>
            </w:pPr>
            <w:r/>
            <w:r>
              <w:rPr>
                <w:b w:val="0"/>
                <w:sz w:val="18"/>
              </w:rPr>
              <w:t>مُقدَّم إلى · Prepared for:</w:t>
              <w:br/>
              <w:t>وزارة الداخلية — مكتب سمو الوزير</w:t>
              <w:br/>
              <w:t>Ministry of Interior · Minister's Office</w:t>
            </w:r>
          </w:p>
        </w:tc>
        <w:tc>
          <w:tcPr>
            <w:tcW w:type="dxa" w:w="5213"/>
          </w:tcPr>
          <w:p>
            <w:pPr>
              <w:bidi/>
              <w:jc w:val="right"/>
            </w:pPr>
            <w:r/>
            <w:r>
              <w:rPr>
                <w:b w:val="0"/>
                <w:sz w:val="18"/>
              </w:rPr>
              <w:t>المشروع · Project:</w:t>
              <w:br/>
              <w:t>التوأم الرقمي — ما بعد التسليم</w:t>
              <w:br/>
              <w:t>MOI Digital Twin · Year-1 scenarios, generator &amp; support</w:t>
            </w:r>
          </w:p>
        </w:tc>
      </w:tr>
    </w:tbl>
    <w:p/>
    <w:tbl>
      <w:tblPr>
        <w:tblStyle w:val="TableGrid"/>
        <w:tblW w:type="auto" w:w="0"/>
        <w:tblLook w:firstColumn="1" w:firstRow="1" w:lastColumn="0" w:lastRow="0" w:noHBand="0" w:noVBand="1" w:val="04A0"/>
        <w:bidiVisual/>
      </w:tblPr>
      <w:tblGrid>
        <w:gridCol w:w="10426"/>
      </w:tblGrid>
      <w:tr>
        <w:tc>
          <w:tcPr>
            <w:tcW w:type="dxa" w:w="10426"/>
            <w:shd w:val="clear" w:fill="EEEAF9"/>
          </w:tcPr>
          <w:p>
            <w:pPr>
              <w:bidi/>
              <w:jc w:val="right"/>
            </w:pPr>
            <w:r/>
            <w:r>
              <w:rPr>
                <w:b w:val="0"/>
                <w:sz w:val="17"/>
              </w:rPr>
              <w:t>اللوحة تُسلَّم مرة واحدة — والقصة تتجدد كل شهر. هذه الوثيقة تكمّل التقدير الأساسي للمنصة وتعرض ثلاثة مسارات لما بعد التسليم: باقات سيناريوهات سنوية نبنيها نحن، أو مولّد سيناريوهات يمكّن فريق الوزارة من إنتاجها بنفسه من قالب، وباقتا دعم وصيانة تضمنان أن كل ما يُنتَج يبقى بجودة العرض الأول.</w:t>
            </w:r>
          </w:p>
        </w:tc>
      </w:tr>
    </w:tbl>
    <w:p>
      <w:pPr>
        <w:bidi/>
        <w:jc w:val="right"/>
      </w:pPr>
      <w:r>
        <w:rPr>
          <w:b/>
          <w:color w:val="5B3FD6"/>
          <w:sz w:val="24"/>
        </w:rPr>
        <w:t>1 · ما هو «السيناريو»</w:t>
      </w:r>
      <w:r>
        <w:rPr>
          <w:color w:val="5A6B78"/>
          <w:sz w:val="17"/>
        </w:rPr>
        <w:t xml:space="preserve">   What counts as one scenario</w:t>
      </w:r>
    </w:p>
    <w:p>
      <w:pPr>
        <w:pStyle w:val="ListBullet"/>
        <w:bidi/>
        <w:jc w:val="right"/>
      </w:pPr>
      <w:r>
        <w:rPr>
          <w:sz w:val="19"/>
        </w:rPr>
        <w:t>القصة والنص العربي: عنوان، سرد من جملة إلى ثلاث، وترجمة إنجليزية.</w:t>
      </w:r>
    </w:p>
    <w:p>
      <w:pPr>
        <w:pStyle w:val="ListBullet"/>
        <w:bidi/>
        <w:jc w:val="right"/>
      </w:pPr>
      <w:r>
        <w:rPr>
          <w:sz w:val="19"/>
        </w:rPr>
        <w:t>مسار الكاميرا: موقع البداية والنهاية وحركة سينمائية فوق النموذج الواقعي ثلاثي الأبعاد.</w:t>
      </w:r>
    </w:p>
    <w:p>
      <w:pPr>
        <w:pStyle w:val="ListBullet"/>
        <w:bidi/>
        <w:jc w:val="right"/>
      </w:pPr>
      <w:r>
        <w:rPr>
          <w:sz w:val="19"/>
        </w:rPr>
        <w:t>الطبقات البصرية: حلقات الحدث، مسارات الاستجابة، الوحدات المتحركة (دوريات، إسعاف، مروحيات، زوارق)، الخرائط الحرارية.</w:t>
      </w:r>
    </w:p>
    <w:p>
      <w:pPr>
        <w:pStyle w:val="ListBullet"/>
        <w:bidi/>
        <w:jc w:val="right"/>
      </w:pPr>
      <w:r>
        <w:rPr>
          <w:sz w:val="19"/>
        </w:rPr>
        <w:t>الوكلاء المعنيون: تفعيل الوكلاء المرتبطين وإظهار خط سير عملهم ومؤشراتهم.</w:t>
      </w:r>
    </w:p>
    <w:p>
      <w:pPr>
        <w:pStyle w:val="ListBullet"/>
        <w:bidi/>
        <w:jc w:val="right"/>
      </w:pPr>
      <w:r>
        <w:rPr>
          <w:sz w:val="19"/>
        </w:rPr>
        <w:t>البيانات: ربط المؤشرات وبطاقة القيادة المعنية بما يُدخَل في لوحة الإدخال أو ببيانات توضيحية.</w:t>
      </w:r>
    </w:p>
    <w:p>
      <w:pPr>
        <w:pStyle w:val="ListBullet"/>
        <w:bidi/>
        <w:jc w:val="right"/>
      </w:pPr>
      <w:r>
        <w:rPr>
          <w:sz w:val="19"/>
        </w:rPr>
        <w:t>المراجعة والاعتماد: نسخة للمراجعة، جولة تعديل واحدة، ثم النشر على الشاشة.</w:t>
      </w:r>
    </w:p>
    <w:p>
      <w:pPr>
        <w:bidi/>
        <w:jc w:val="right"/>
      </w:pPr>
      <w:r>
        <w:rPr>
          <w:b/>
          <w:color w:val="5B3FD6"/>
          <w:sz w:val="24"/>
        </w:rPr>
        <w:t>2 · باقات السيناريوهات السنوية — نبنيها نحن</w:t>
      </w:r>
      <w:r>
        <w:rPr>
          <w:color w:val="5A6B78"/>
          <w:sz w:val="17"/>
        </w:rPr>
        <w:t xml:space="preserve">   Annual scenario packages, built by us</w:t>
      </w:r>
    </w:p>
    <w:tbl>
      <w:tblPr>
        <w:tblStyle w:val="TableGrid"/>
        <w:tblW w:type="auto" w:w="0"/>
        <w:tblLook w:firstColumn="1" w:firstRow="1" w:lastColumn="0" w:lastRow="0" w:noHBand="0" w:noVBand="1" w:val="04A0"/>
        <w:bidiVisual/>
      </w:tblPr>
      <w:tblGrid>
        <w:gridCol w:w="1489"/>
        <w:gridCol w:w="1489"/>
        <w:gridCol w:w="1489"/>
        <w:gridCol w:w="1489"/>
        <w:gridCol w:w="1489"/>
        <w:gridCol w:w="1489"/>
        <w:gridCol w:w="1489"/>
      </w:tblGrid>
      <w:tr>
        <w:tc>
          <w:tcPr>
            <w:tcW w:type="dxa" w:w="1489"/>
            <w:shd w:val="clear" w:fill="14222F"/>
          </w:tcPr>
          <w:p>
            <w:pPr>
              <w:bidi/>
              <w:jc w:val="right"/>
            </w:pPr>
            <w:r/>
            <w:r>
              <w:rPr>
                <w:b/>
                <w:color w:val="FFFFFF"/>
                <w:sz w:val="18"/>
              </w:rPr>
              <w:t>الباقة</w:t>
            </w:r>
          </w:p>
        </w:tc>
        <w:tc>
          <w:tcPr>
            <w:tcW w:type="dxa" w:w="1489"/>
            <w:shd w:val="clear" w:fill="14222F"/>
          </w:tcPr>
          <w:p>
            <w:pPr>
              <w:bidi/>
              <w:jc w:val="center"/>
            </w:pPr>
            <w:r/>
            <w:r>
              <w:rPr>
                <w:b/>
                <w:color w:val="FFFFFF"/>
                <w:sz w:val="18"/>
              </w:rPr>
              <w:t>الوتيرة</w:t>
            </w:r>
          </w:p>
        </w:tc>
        <w:tc>
          <w:tcPr>
            <w:tcW w:type="dxa" w:w="1489"/>
            <w:shd w:val="clear" w:fill="14222F"/>
          </w:tcPr>
          <w:p>
            <w:pPr>
              <w:bidi/>
              <w:jc w:val="center"/>
            </w:pPr>
            <w:r/>
            <w:r>
              <w:rPr>
                <w:b/>
                <w:color w:val="FFFFFF"/>
                <w:sz w:val="18"/>
              </w:rPr>
              <w:t>التعديلات</w:t>
            </w:r>
          </w:p>
        </w:tc>
        <w:tc>
          <w:tcPr>
            <w:tcW w:type="dxa" w:w="1489"/>
            <w:shd w:val="clear" w:fill="14222F"/>
          </w:tcPr>
          <w:p>
            <w:pPr>
              <w:bidi/>
              <w:jc w:val="center"/>
            </w:pPr>
            <w:r/>
            <w:r>
              <w:rPr>
                <w:b/>
                <w:color w:val="FFFFFF"/>
                <w:sz w:val="18"/>
              </w:rPr>
              <w:t>التسليم</w:t>
            </w:r>
          </w:p>
        </w:tc>
        <w:tc>
          <w:tcPr>
            <w:tcW w:type="dxa" w:w="1489"/>
            <w:shd w:val="clear" w:fill="14222F"/>
          </w:tcPr>
          <w:p>
            <w:pPr>
              <w:bidi/>
              <w:jc w:val="center"/>
            </w:pPr>
            <w:r/>
            <w:r>
              <w:rPr>
                <w:b/>
                <w:color w:val="FFFFFF"/>
                <w:sz w:val="18"/>
              </w:rPr>
              <w:t>نماذج 3D جديدة</w:t>
            </w:r>
          </w:p>
        </w:tc>
        <w:tc>
          <w:tcPr>
            <w:tcW w:type="dxa" w:w="1489"/>
            <w:shd w:val="clear" w:fill="14222F"/>
          </w:tcPr>
          <w:p>
            <w:pPr>
              <w:bidi/>
              <w:jc w:val="center"/>
            </w:pPr>
            <w:r/>
            <w:r>
              <w:rPr>
                <w:b/>
                <w:color w:val="FFFFFF"/>
                <w:sz w:val="18"/>
              </w:rPr>
              <w:t>طارئ 72 س</w:t>
            </w:r>
          </w:p>
        </w:tc>
        <w:tc>
          <w:tcPr>
            <w:tcW w:type="dxa" w:w="1489"/>
            <w:shd w:val="clear" w:fill="14222F"/>
          </w:tcPr>
          <w:p>
            <w:pPr>
              <w:bidi/>
              <w:jc w:val="center"/>
            </w:pPr>
            <w:r/>
            <w:r>
              <w:rPr>
                <w:b/>
                <w:color w:val="FFFFFF"/>
                <w:sz w:val="18"/>
              </w:rPr>
              <w:t>التقدير (AED/سنة)</w:t>
            </w:r>
          </w:p>
        </w:tc>
      </w:tr>
      <w:tr>
        <w:tc>
          <w:tcPr>
            <w:tcW w:type="dxa" w:w="1489"/>
          </w:tcPr>
          <w:p>
            <w:pPr>
              <w:bidi/>
              <w:jc w:val="right"/>
            </w:pPr>
            <w:r/>
            <w:r>
              <w:rPr>
                <w:b/>
                <w:sz w:val="18"/>
              </w:rPr>
              <w:t>3 سيناريوهات</w:t>
            </w:r>
          </w:p>
        </w:tc>
        <w:tc>
          <w:tcPr>
            <w:tcW w:type="dxa" w:w="1489"/>
          </w:tcPr>
          <w:p>
            <w:pPr>
              <w:bidi/>
              <w:jc w:val="center"/>
            </w:pPr>
            <w:r/>
            <w:r>
              <w:rPr>
                <w:b w:val="0"/>
                <w:sz w:val="18"/>
              </w:rPr>
              <w:t>كل 4 أشهر</w:t>
            </w:r>
          </w:p>
        </w:tc>
        <w:tc>
          <w:tcPr>
            <w:tcW w:type="dxa" w:w="1489"/>
          </w:tcPr>
          <w:p>
            <w:pPr>
              <w:bidi/>
              <w:jc w:val="center"/>
            </w:pPr>
            <w:r/>
            <w:r>
              <w:rPr>
                <w:b w:val="0"/>
                <w:sz w:val="18"/>
              </w:rPr>
              <w:t>جولة واحدة</w:t>
            </w:r>
          </w:p>
        </w:tc>
        <w:tc>
          <w:tcPr>
            <w:tcW w:type="dxa" w:w="1489"/>
          </w:tcPr>
          <w:p>
            <w:pPr>
              <w:bidi/>
              <w:jc w:val="center"/>
            </w:pPr>
            <w:r/>
            <w:r>
              <w:rPr>
                <w:b w:val="0"/>
                <w:sz w:val="18"/>
              </w:rPr>
              <w:t>3 أسابيع</w:t>
            </w:r>
          </w:p>
        </w:tc>
        <w:tc>
          <w:tcPr>
            <w:tcW w:type="dxa" w:w="1489"/>
          </w:tcPr>
          <w:p>
            <w:pPr>
              <w:bidi/>
              <w:jc w:val="center"/>
            </w:pPr>
            <w:r/>
            <w:r>
              <w:rPr>
                <w:b w:val="0"/>
                <w:sz w:val="18"/>
              </w:rPr>
              <w:t>1</w:t>
            </w:r>
          </w:p>
        </w:tc>
        <w:tc>
          <w:tcPr>
            <w:tcW w:type="dxa" w:w="1489"/>
          </w:tcPr>
          <w:p>
            <w:pPr>
              <w:bidi/>
              <w:jc w:val="center"/>
            </w:pPr>
            <w:r/>
            <w:r>
              <w:rPr>
                <w:b w:val="0"/>
                <w:sz w:val="18"/>
              </w:rPr>
              <w:t>—</w:t>
            </w:r>
          </w:p>
        </w:tc>
        <w:tc>
          <w:tcPr>
            <w:tcW w:type="dxa" w:w="1489"/>
          </w:tcPr>
          <w:p>
            <w:pPr>
              <w:bidi/>
              <w:jc w:val="center"/>
            </w:pPr>
            <w:r/>
            <w:r>
              <w:rPr>
                <w:b w:val="0"/>
                <w:sz w:val="18"/>
              </w:rPr>
              <w:t>~ 27,000 (≈ 9,000/سيناريو)</w:t>
            </w:r>
          </w:p>
        </w:tc>
      </w:tr>
      <w:tr>
        <w:tc>
          <w:tcPr>
            <w:tcW w:type="dxa" w:w="1489"/>
          </w:tcPr>
          <w:p>
            <w:pPr>
              <w:bidi/>
              <w:jc w:val="right"/>
            </w:pPr>
            <w:r/>
            <w:r>
              <w:rPr>
                <w:b/>
                <w:sz w:val="18"/>
              </w:rPr>
              <w:t>6 سيناريوهات · الأنسب</w:t>
            </w:r>
          </w:p>
        </w:tc>
        <w:tc>
          <w:tcPr>
            <w:tcW w:type="dxa" w:w="1489"/>
          </w:tcPr>
          <w:p>
            <w:pPr>
              <w:bidi/>
              <w:jc w:val="center"/>
            </w:pPr>
            <w:r/>
            <w:r>
              <w:rPr>
                <w:b w:val="0"/>
                <w:sz w:val="18"/>
              </w:rPr>
              <w:t>كل شهرين</w:t>
            </w:r>
          </w:p>
        </w:tc>
        <w:tc>
          <w:tcPr>
            <w:tcW w:type="dxa" w:w="1489"/>
          </w:tcPr>
          <w:p>
            <w:pPr>
              <w:bidi/>
              <w:jc w:val="center"/>
            </w:pPr>
            <w:r/>
            <w:r>
              <w:rPr>
                <w:b w:val="0"/>
                <w:sz w:val="18"/>
              </w:rPr>
              <w:t>جولتان</w:t>
            </w:r>
          </w:p>
        </w:tc>
        <w:tc>
          <w:tcPr>
            <w:tcW w:type="dxa" w:w="1489"/>
          </w:tcPr>
          <w:p>
            <w:pPr>
              <w:bidi/>
              <w:jc w:val="center"/>
            </w:pPr>
            <w:r/>
            <w:r>
              <w:rPr>
                <w:b w:val="0"/>
                <w:sz w:val="18"/>
              </w:rPr>
              <w:t>أسبوعان</w:t>
            </w:r>
          </w:p>
        </w:tc>
        <w:tc>
          <w:tcPr>
            <w:tcW w:type="dxa" w:w="1489"/>
          </w:tcPr>
          <w:p>
            <w:pPr>
              <w:bidi/>
              <w:jc w:val="center"/>
            </w:pPr>
            <w:r/>
            <w:r>
              <w:rPr>
                <w:b w:val="0"/>
                <w:sz w:val="18"/>
              </w:rPr>
              <w:t>3</w:t>
            </w:r>
          </w:p>
        </w:tc>
        <w:tc>
          <w:tcPr>
            <w:tcW w:type="dxa" w:w="1489"/>
          </w:tcPr>
          <w:p>
            <w:pPr>
              <w:bidi/>
              <w:jc w:val="center"/>
            </w:pPr>
            <w:r/>
            <w:r>
              <w:rPr>
                <w:b w:val="0"/>
                <w:sz w:val="18"/>
              </w:rPr>
              <w:t>1</w:t>
            </w:r>
          </w:p>
        </w:tc>
        <w:tc>
          <w:tcPr>
            <w:tcW w:type="dxa" w:w="1489"/>
          </w:tcPr>
          <w:p>
            <w:pPr>
              <w:bidi/>
              <w:jc w:val="center"/>
            </w:pPr>
            <w:r/>
            <w:r>
              <w:rPr>
                <w:b w:val="0"/>
                <w:sz w:val="18"/>
              </w:rPr>
              <w:t>~ 45,000 (≈ 7,500/سيناريو)</w:t>
            </w:r>
          </w:p>
        </w:tc>
      </w:tr>
      <w:tr>
        <w:tc>
          <w:tcPr>
            <w:tcW w:type="dxa" w:w="1489"/>
          </w:tcPr>
          <w:p>
            <w:pPr>
              <w:bidi/>
              <w:jc w:val="right"/>
            </w:pPr>
            <w:r/>
            <w:r>
              <w:rPr>
                <w:b/>
                <w:sz w:val="18"/>
              </w:rPr>
              <w:t>12 سيناريو</w:t>
            </w:r>
          </w:p>
        </w:tc>
        <w:tc>
          <w:tcPr>
            <w:tcW w:type="dxa" w:w="1489"/>
          </w:tcPr>
          <w:p>
            <w:pPr>
              <w:bidi/>
              <w:jc w:val="center"/>
            </w:pPr>
            <w:r/>
            <w:r>
              <w:rPr>
                <w:b w:val="0"/>
                <w:sz w:val="18"/>
              </w:rPr>
              <w:t>شهرياً</w:t>
            </w:r>
          </w:p>
        </w:tc>
        <w:tc>
          <w:tcPr>
            <w:tcW w:type="dxa" w:w="1489"/>
          </w:tcPr>
          <w:p>
            <w:pPr>
              <w:bidi/>
              <w:jc w:val="center"/>
            </w:pPr>
            <w:r/>
            <w:r>
              <w:rPr>
                <w:b w:val="0"/>
                <w:sz w:val="18"/>
              </w:rPr>
              <w:t>جولتان</w:t>
            </w:r>
          </w:p>
        </w:tc>
        <w:tc>
          <w:tcPr>
            <w:tcW w:type="dxa" w:w="1489"/>
          </w:tcPr>
          <w:p>
            <w:pPr>
              <w:bidi/>
              <w:jc w:val="center"/>
            </w:pPr>
            <w:r/>
            <w:r>
              <w:rPr>
                <w:b w:val="0"/>
                <w:sz w:val="18"/>
              </w:rPr>
              <w:t>10 أيام عمل</w:t>
            </w:r>
          </w:p>
        </w:tc>
        <w:tc>
          <w:tcPr>
            <w:tcW w:type="dxa" w:w="1489"/>
          </w:tcPr>
          <w:p>
            <w:pPr>
              <w:bidi/>
              <w:jc w:val="center"/>
            </w:pPr>
            <w:r/>
            <w:r>
              <w:rPr>
                <w:b w:val="0"/>
                <w:sz w:val="18"/>
              </w:rPr>
              <w:t>6</w:t>
            </w:r>
          </w:p>
        </w:tc>
        <w:tc>
          <w:tcPr>
            <w:tcW w:type="dxa" w:w="1489"/>
          </w:tcPr>
          <w:p>
            <w:pPr>
              <w:bidi/>
              <w:jc w:val="center"/>
            </w:pPr>
            <w:r/>
            <w:r>
              <w:rPr>
                <w:b w:val="0"/>
                <w:sz w:val="18"/>
              </w:rPr>
              <w:t>2</w:t>
            </w:r>
          </w:p>
        </w:tc>
        <w:tc>
          <w:tcPr>
            <w:tcW w:type="dxa" w:w="1489"/>
          </w:tcPr>
          <w:p>
            <w:pPr>
              <w:bidi/>
              <w:jc w:val="center"/>
            </w:pPr>
            <w:r/>
            <w:r>
              <w:rPr>
                <w:b w:val="0"/>
                <w:sz w:val="18"/>
              </w:rPr>
              <w:t>~ 72,000 (≈ 6,000/سيناريو)</w:t>
            </w:r>
          </w:p>
        </w:tc>
      </w:tr>
    </w:tbl>
    <w:tbl>
      <w:tblPr>
        <w:tblStyle w:val="TableGrid"/>
        <w:tblW w:type="auto" w:w="0"/>
        <w:tblLook w:firstColumn="1" w:firstRow="1" w:lastColumn="0" w:lastRow="0" w:noHBand="0" w:noVBand="1" w:val="04A0"/>
        <w:bidiVisual/>
      </w:tblPr>
      <w:tblGrid>
        <w:gridCol w:w="10426"/>
      </w:tblGrid>
      <w:tr>
        <w:tc>
          <w:tcPr>
            <w:tcW w:type="dxa" w:w="10426"/>
            <w:shd w:val="clear" w:fill="F2EEFB"/>
          </w:tcPr>
          <w:p>
            <w:pPr>
              <w:bidi/>
              <w:jc w:val="right"/>
            </w:pPr>
            <w:r/>
            <w:r>
              <w:rPr>
                <w:b w:val="0"/>
                <w:sz w:val="17"/>
              </w:rPr>
              <w:t>سيناريو إضافي خارج الباقة: ~ 10,000 درهم. سيناريو طارئ (خلال 72 ساعة): ~ 14,000 درهم. السيناريوهات غير المستخدمة لا تُرحَّل إلى السنة التالية.</w:t>
            </w:r>
          </w:p>
        </w:tc>
      </w:tr>
    </w:tbl>
    <w:p>
      <w:pPr>
        <w:bidi/>
        <w:jc w:val="right"/>
      </w:pPr>
      <w:r>
        <w:rPr>
          <w:b/>
          <w:color w:val="5B3FD6"/>
          <w:sz w:val="24"/>
        </w:rPr>
        <w:t>3 · مولّد السيناريوهات — تبنيها الوزارة بنفسها</w:t>
      </w:r>
      <w:r>
        <w:rPr>
          <w:color w:val="5A6B78"/>
          <w:sz w:val="17"/>
        </w:rPr>
        <w:t xml:space="preserve">   Scenario Generator, self-service</w:t>
      </w:r>
    </w:p>
    <w:p>
      <w:pPr>
        <w:bidi/>
        <w:jc w:val="right"/>
      </w:pPr>
      <w:r>
        <w:rPr>
          <w:b w:val="0"/>
          <w:color w:val="5A6B78"/>
          <w:sz w:val="19"/>
        </w:rPr>
        <w:t>نظام داخل اللوحة يحوّل قالباً مملوءاً إلى سيناريو كامل جاهز للعرض، دون برمجة. يُشترى مرة واحدة ويُنتج عدداً غير محدود من السيناريوهات.</w:t>
      </w:r>
    </w:p>
    <w:tbl>
      <w:tblPr>
        <w:tblStyle w:val="TableGrid"/>
        <w:tblW w:type="auto" w:w="0"/>
        <w:tblLook w:firstColumn="1" w:firstRow="1" w:lastColumn="0" w:lastRow="0" w:noHBand="0" w:noVBand="1" w:val="04A0"/>
        <w:bidiVisual/>
      </w:tblPr>
      <w:tblGrid>
        <w:gridCol w:w="5213"/>
        <w:gridCol w:w="5213"/>
      </w:tblGrid>
      <w:tr>
        <w:tc>
          <w:tcPr>
            <w:tcW w:type="dxa" w:w="5213"/>
            <w:shd w:val="clear" w:fill="14222F"/>
          </w:tcPr>
          <w:p>
            <w:pPr>
              <w:bidi/>
              <w:jc w:val="right"/>
            </w:pPr>
            <w:r/>
            <w:r>
              <w:rPr>
                <w:b/>
                <w:color w:val="FFFFFF"/>
                <w:sz w:val="18"/>
              </w:rPr>
              <w:t>الخطوة</w:t>
            </w:r>
          </w:p>
        </w:tc>
        <w:tc>
          <w:tcPr>
            <w:tcW w:type="dxa" w:w="5213"/>
            <w:shd w:val="clear" w:fill="14222F"/>
          </w:tcPr>
          <w:p>
            <w:pPr>
              <w:bidi/>
              <w:jc w:val="center"/>
            </w:pPr>
            <w:r/>
            <w:r>
              <w:rPr>
                <w:b/>
                <w:color w:val="FFFFFF"/>
                <w:sz w:val="18"/>
              </w:rPr>
              <w:t>ما يحدث</w:t>
            </w:r>
          </w:p>
        </w:tc>
      </w:tr>
      <w:tr>
        <w:tc>
          <w:tcPr>
            <w:tcW w:type="dxa" w:w="5213"/>
          </w:tcPr>
          <w:p>
            <w:pPr>
              <w:bidi/>
              <w:jc w:val="right"/>
            </w:pPr>
            <w:r/>
            <w:r>
              <w:rPr>
                <w:b/>
                <w:sz w:val="18"/>
              </w:rPr>
              <w:t>1 · القالب</w:t>
            </w:r>
          </w:p>
        </w:tc>
        <w:tc>
          <w:tcPr>
            <w:tcW w:type="dxa" w:w="5213"/>
          </w:tcPr>
          <w:p>
            <w:pPr>
              <w:bidi/>
              <w:jc w:val="center"/>
            </w:pPr>
            <w:r/>
            <w:r>
              <w:rPr>
                <w:b w:val="0"/>
                <w:sz w:val="18"/>
              </w:rPr>
              <w:t>يختار المستخدم قالباً (بلاغ وتوجيه، رؤية حاسوبية، تنسيق جهات، إحاطة استراتيجية، فعالية وطنية…) ويملأ الحقول: الموقع، الجهات، الوكلاء، المؤشرات، النص.</w:t>
            </w:r>
          </w:p>
        </w:tc>
      </w:tr>
      <w:tr>
        <w:tc>
          <w:tcPr>
            <w:tcW w:type="dxa" w:w="5213"/>
          </w:tcPr>
          <w:p>
            <w:pPr>
              <w:bidi/>
              <w:jc w:val="right"/>
            </w:pPr>
            <w:r/>
            <w:r>
              <w:rPr>
                <w:b/>
                <w:sz w:val="18"/>
              </w:rPr>
              <w:t>2 · التوليد</w:t>
            </w:r>
          </w:p>
        </w:tc>
        <w:tc>
          <w:tcPr>
            <w:tcW w:type="dxa" w:w="5213"/>
          </w:tcPr>
          <w:p>
            <w:pPr>
              <w:bidi/>
              <w:jc w:val="center"/>
            </w:pPr>
            <w:r/>
            <w:r>
              <w:rPr>
                <w:b w:val="0"/>
                <w:sz w:val="18"/>
              </w:rPr>
              <w:t>المولّد يبني مسار الكاميرا والطبقات والوحدات المتحركة تلقائياً، ويقترح صياغة عربية وإنجليزية بمساعدة الذكاء الاصطناعي.</w:t>
            </w:r>
          </w:p>
        </w:tc>
      </w:tr>
      <w:tr>
        <w:tc>
          <w:tcPr>
            <w:tcW w:type="dxa" w:w="5213"/>
          </w:tcPr>
          <w:p>
            <w:pPr>
              <w:bidi/>
              <w:jc w:val="right"/>
            </w:pPr>
            <w:r/>
            <w:r>
              <w:rPr>
                <w:b/>
                <w:sz w:val="18"/>
              </w:rPr>
              <w:t>3 · المعاينة</w:t>
            </w:r>
          </w:p>
        </w:tc>
        <w:tc>
          <w:tcPr>
            <w:tcW w:type="dxa" w:w="5213"/>
          </w:tcPr>
          <w:p>
            <w:pPr>
              <w:bidi/>
              <w:jc w:val="center"/>
            </w:pPr>
            <w:r/>
            <w:r>
              <w:rPr>
                <w:b w:val="0"/>
                <w:sz w:val="18"/>
              </w:rPr>
              <w:t>معاينة فورية على نسخة من اللوحة، مع فحص آلي: الموقع داخل الدولة؟ المؤشرات مرتبطة؟ المدة ضمن الحلقة؟</w:t>
            </w:r>
          </w:p>
        </w:tc>
      </w:tr>
      <w:tr>
        <w:tc>
          <w:tcPr>
            <w:tcW w:type="dxa" w:w="5213"/>
          </w:tcPr>
          <w:p>
            <w:pPr>
              <w:bidi/>
              <w:jc w:val="right"/>
            </w:pPr>
            <w:r/>
            <w:r>
              <w:rPr>
                <w:b/>
                <w:sz w:val="18"/>
              </w:rPr>
              <w:t>4 · النشر</w:t>
            </w:r>
          </w:p>
        </w:tc>
        <w:tc>
          <w:tcPr>
            <w:tcW w:type="dxa" w:w="5213"/>
          </w:tcPr>
          <w:p>
            <w:pPr>
              <w:bidi/>
              <w:jc w:val="center"/>
            </w:pPr>
            <w:r/>
            <w:r>
              <w:rPr>
                <w:b w:val="0"/>
                <w:sz w:val="18"/>
              </w:rPr>
              <w:t>اعتماد بضغطة واحدة، جدولة في الحلقة التلقائية، وأرشيف بكل الإصدارات مع إمكانية الرجوع.</w:t>
            </w:r>
          </w:p>
        </w:tc>
      </w:tr>
    </w:tbl>
    <w:p/>
    <w:tbl>
      <w:tblPr>
        <w:tblStyle w:val="TableGrid"/>
        <w:tblW w:type="auto" w:w="0"/>
        <w:tblLook w:firstColumn="1" w:firstRow="1" w:lastColumn="0" w:lastRow="0" w:noHBand="0" w:noVBand="1" w:val="04A0"/>
        <w:bidiVisual/>
      </w:tblPr>
      <w:tblGrid>
        <w:gridCol w:w="3475"/>
        <w:gridCol w:w="3475"/>
        <w:gridCol w:w="3475"/>
      </w:tblGrid>
      <w:tr>
        <w:tc>
          <w:tcPr>
            <w:tcW w:type="dxa" w:w="3475"/>
            <w:shd w:val="clear" w:fill="14222F"/>
          </w:tcPr>
          <w:p>
            <w:pPr>
              <w:bidi/>
              <w:jc w:val="right"/>
            </w:pPr>
            <w:r/>
            <w:r>
              <w:rPr>
                <w:b/>
                <w:color w:val="FFFFFF"/>
                <w:sz w:val="18"/>
              </w:rPr>
              <w:t>البند</w:t>
            </w:r>
          </w:p>
        </w:tc>
        <w:tc>
          <w:tcPr>
            <w:tcW w:type="dxa" w:w="3475"/>
            <w:shd w:val="clear" w:fill="14222F"/>
          </w:tcPr>
          <w:p>
            <w:pPr>
              <w:bidi/>
              <w:jc w:val="center"/>
            </w:pPr>
            <w:r/>
            <w:r>
              <w:rPr>
                <w:b/>
                <w:color w:val="FFFFFF"/>
                <w:sz w:val="18"/>
              </w:rPr>
              <w:t>الوصف</w:t>
            </w:r>
          </w:p>
        </w:tc>
        <w:tc>
          <w:tcPr>
            <w:tcW w:type="dxa" w:w="3475"/>
            <w:shd w:val="clear" w:fill="14222F"/>
          </w:tcPr>
          <w:p>
            <w:pPr>
              <w:bidi/>
              <w:jc w:val="center"/>
            </w:pPr>
            <w:r/>
            <w:r>
              <w:rPr>
                <w:b/>
                <w:color w:val="FFFFFF"/>
                <w:sz w:val="18"/>
              </w:rPr>
              <w:t>التقدير (AED)</w:t>
            </w:r>
          </w:p>
        </w:tc>
      </w:tr>
      <w:tr>
        <w:tc>
          <w:tcPr>
            <w:tcW w:type="dxa" w:w="3475"/>
          </w:tcPr>
          <w:p>
            <w:pPr>
              <w:bidi/>
              <w:jc w:val="right"/>
            </w:pPr>
            <w:r/>
            <w:r>
              <w:rPr>
                <w:b/>
                <w:sz w:val="18"/>
              </w:rPr>
              <w:t>بناء مولّد السيناريوهات (مرة واحدة)</w:t>
            </w:r>
          </w:p>
        </w:tc>
        <w:tc>
          <w:tcPr>
            <w:tcW w:type="dxa" w:w="3475"/>
          </w:tcPr>
          <w:p>
            <w:pPr>
              <w:bidi/>
              <w:jc w:val="center"/>
            </w:pPr>
            <w:r/>
            <w:r>
              <w:rPr>
                <w:b w:val="0"/>
                <w:sz w:val="18"/>
              </w:rPr>
              <w:t>واجهة القالب، محرك التوليد، المعاينة والفحص، النشر والجدولة، الأرشيف والصلاحيات، 6 قوالب أساسية، تدريب فريق الوزارة.</w:t>
            </w:r>
          </w:p>
        </w:tc>
        <w:tc>
          <w:tcPr>
            <w:tcW w:type="dxa" w:w="3475"/>
          </w:tcPr>
          <w:p>
            <w:pPr>
              <w:bidi/>
              <w:jc w:val="center"/>
            </w:pPr>
            <w:r/>
            <w:r>
              <w:rPr>
                <w:b w:val="0"/>
                <w:sz w:val="18"/>
              </w:rPr>
              <w:t>~ 38,000</w:t>
            </w:r>
          </w:p>
        </w:tc>
      </w:tr>
      <w:tr>
        <w:tc>
          <w:tcPr>
            <w:tcW w:type="dxa" w:w="3475"/>
          </w:tcPr>
          <w:p>
            <w:pPr>
              <w:bidi/>
              <w:jc w:val="right"/>
            </w:pPr>
            <w:r/>
            <w:r>
              <w:rPr>
                <w:b/>
                <w:sz w:val="18"/>
              </w:rPr>
              <w:t>قالب إضافي</w:t>
            </w:r>
          </w:p>
        </w:tc>
        <w:tc>
          <w:tcPr>
            <w:tcW w:type="dxa" w:w="3475"/>
          </w:tcPr>
          <w:p>
            <w:pPr>
              <w:bidi/>
              <w:jc w:val="center"/>
            </w:pPr>
            <w:r/>
            <w:r>
              <w:rPr>
                <w:b w:val="0"/>
                <w:sz w:val="18"/>
              </w:rPr>
              <w:t>نوع سيناريو جديد بمنطقه البصري الخاص (أمن المنافذ، الأحداث الجوية، المناسبات الكبرى…).</w:t>
            </w:r>
          </w:p>
        </w:tc>
        <w:tc>
          <w:tcPr>
            <w:tcW w:type="dxa" w:w="3475"/>
          </w:tcPr>
          <w:p>
            <w:pPr>
              <w:bidi/>
              <w:jc w:val="center"/>
            </w:pPr>
            <w:r/>
            <w:r>
              <w:rPr>
                <w:b w:val="0"/>
                <w:sz w:val="18"/>
              </w:rPr>
              <w:t>~ 4,500 / قالب</w:t>
            </w:r>
          </w:p>
        </w:tc>
      </w:tr>
      <w:tr>
        <w:tc>
          <w:tcPr>
            <w:tcW w:type="dxa" w:w="3475"/>
          </w:tcPr>
          <w:p>
            <w:pPr>
              <w:bidi/>
              <w:jc w:val="right"/>
            </w:pPr>
            <w:r/>
            <w:r>
              <w:rPr>
                <w:b/>
                <w:sz w:val="18"/>
              </w:rPr>
              <w:t>المساعد النصي بالذكاء الاصطناعي (سنوي)</w:t>
            </w:r>
          </w:p>
        </w:tc>
        <w:tc>
          <w:tcPr>
            <w:tcW w:type="dxa" w:w="3475"/>
          </w:tcPr>
          <w:p>
            <w:pPr>
              <w:bidi/>
              <w:jc w:val="center"/>
            </w:pPr>
            <w:r/>
            <w:r>
              <w:rPr>
                <w:b w:val="0"/>
                <w:sz w:val="18"/>
              </w:rPr>
              <w:t>رسوم استهلاك نموذج اللغة لصياغة النصوص — بحسب الاستخدام الفعلي، تقديرياً.</w:t>
            </w:r>
          </w:p>
        </w:tc>
        <w:tc>
          <w:tcPr>
            <w:tcW w:type="dxa" w:w="3475"/>
          </w:tcPr>
          <w:p>
            <w:pPr>
              <w:bidi/>
              <w:jc w:val="center"/>
            </w:pPr>
            <w:r/>
            <w:r>
              <w:rPr>
                <w:b w:val="0"/>
                <w:sz w:val="18"/>
              </w:rPr>
              <w:t>~ 3,000 / سنة</w:t>
            </w:r>
          </w:p>
        </w:tc>
      </w:tr>
    </w:tbl>
    <w:tbl>
      <w:tblPr>
        <w:tblStyle w:val="TableGrid"/>
        <w:tblW w:type="auto" w:w="0"/>
        <w:tblLook w:firstColumn="1" w:firstRow="1" w:lastColumn="0" w:lastRow="0" w:noHBand="0" w:noVBand="1" w:val="04A0"/>
        <w:bidiVisual/>
      </w:tblPr>
      <w:tblGrid>
        <w:gridCol w:w="10426"/>
      </w:tblGrid>
      <w:tr>
        <w:tc>
          <w:tcPr>
            <w:tcW w:type="dxa" w:w="10426"/>
            <w:shd w:val="clear" w:fill="FBF1E4"/>
          </w:tcPr>
          <w:p>
            <w:pPr>
              <w:bidi/>
              <w:jc w:val="right"/>
            </w:pPr>
            <w:r/>
            <w:r>
              <w:rPr>
                <w:b w:val="0"/>
                <w:sz w:val="17"/>
              </w:rPr>
              <w:t>ما يبقى بحاجة إلى خبرة: المولّد يغطي القوالب المعتمدة. أي سيناريو يحتاج نموذجاً ثلاثي الأبعاد جديداً، أو حركة كاميرا خاصة، أو مصدر بيانات جديداً — يُنجَز عبر باقة السيناريوهات أو ضمن باقة الدعم الشامل.</w:t>
            </w:r>
          </w:p>
        </w:tc>
      </w:tr>
    </w:tbl>
    <w:p>
      <w:pPr>
        <w:bidi/>
        <w:jc w:val="right"/>
      </w:pPr>
      <w:r>
        <w:rPr>
          <w:b/>
          <w:color w:val="5B3FD6"/>
          <w:sz w:val="24"/>
        </w:rPr>
        <w:t>4 · الدعم والصيانة السنوي</w:t>
      </w:r>
      <w:r>
        <w:rPr>
          <w:color w:val="5A6B78"/>
          <w:sz w:val="17"/>
        </w:rPr>
        <w:t xml:space="preserve">   Annual support &amp; maintenance</w:t>
      </w:r>
    </w:p>
    <w:tbl>
      <w:tblPr>
        <w:tblStyle w:val="TableGrid"/>
        <w:tblW w:type="auto" w:w="0"/>
        <w:tblLook w:firstColumn="1" w:firstRow="1" w:lastColumn="0" w:lastRow="0" w:noHBand="0" w:noVBand="1" w:val="04A0"/>
        <w:bidiVisual/>
      </w:tblPr>
      <w:tblGrid>
        <w:gridCol w:w="3475"/>
        <w:gridCol w:w="3475"/>
        <w:gridCol w:w="3475"/>
      </w:tblGrid>
      <w:tr>
        <w:tc>
          <w:tcPr>
            <w:tcW w:type="dxa" w:w="3475"/>
            <w:shd w:val="clear" w:fill="14222F"/>
          </w:tcPr>
          <w:p>
            <w:pPr>
              <w:bidi/>
              <w:jc w:val="right"/>
            </w:pPr>
            <w:r/>
            <w:r>
              <w:rPr>
                <w:b/>
                <w:color w:val="FFFFFF"/>
                <w:sz w:val="18"/>
              </w:rPr>
              <w:t>الخدمة</w:t>
            </w:r>
          </w:p>
        </w:tc>
        <w:tc>
          <w:tcPr>
            <w:tcW w:type="dxa" w:w="3475"/>
            <w:shd w:val="clear" w:fill="14222F"/>
          </w:tcPr>
          <w:p>
            <w:pPr>
              <w:bidi/>
              <w:jc w:val="center"/>
            </w:pPr>
            <w:r/>
            <w:r>
              <w:rPr>
                <w:b/>
                <w:color w:val="FFFFFF"/>
                <w:sz w:val="18"/>
              </w:rPr>
              <w:t>أساسي · Essential</w:t>
            </w:r>
          </w:p>
        </w:tc>
        <w:tc>
          <w:tcPr>
            <w:tcW w:type="dxa" w:w="3475"/>
            <w:shd w:val="clear" w:fill="14222F"/>
          </w:tcPr>
          <w:p>
            <w:pPr>
              <w:bidi/>
              <w:jc w:val="center"/>
            </w:pPr>
            <w:r/>
            <w:r>
              <w:rPr>
                <w:b/>
                <w:color w:val="FFFFFF"/>
                <w:sz w:val="18"/>
              </w:rPr>
              <w:t>شامل · Full</w:t>
            </w:r>
          </w:p>
        </w:tc>
      </w:tr>
      <w:tr>
        <w:tc>
          <w:tcPr>
            <w:tcW w:type="dxa" w:w="3475"/>
          </w:tcPr>
          <w:p>
            <w:pPr>
              <w:bidi/>
              <w:jc w:val="right"/>
            </w:pPr>
            <w:r/>
            <w:r>
              <w:rPr>
                <w:b/>
                <w:sz w:val="18"/>
              </w:rPr>
              <w:t>استمرارية التشغيل ومراقبة اللوحة على الشاشة الجدارية</w:t>
            </w:r>
          </w:p>
        </w:tc>
        <w:tc>
          <w:tcPr>
            <w:tcW w:type="dxa" w:w="3475"/>
          </w:tcPr>
          <w:p>
            <w:pPr>
              <w:bidi/>
              <w:jc w:val="center"/>
            </w:pPr>
            <w:r/>
            <w:r>
              <w:rPr>
                <w:b w:val="0"/>
                <w:sz w:val="18"/>
              </w:rPr>
              <w:t>✓</w:t>
            </w:r>
          </w:p>
        </w:tc>
        <w:tc>
          <w:tcPr>
            <w:tcW w:type="dxa" w:w="3475"/>
          </w:tcPr>
          <w:p>
            <w:pPr>
              <w:bidi/>
              <w:jc w:val="center"/>
            </w:pPr>
            <w:r/>
            <w:r>
              <w:rPr>
                <w:b w:val="0"/>
                <w:sz w:val="18"/>
              </w:rPr>
              <w:t>✓</w:t>
            </w:r>
          </w:p>
        </w:tc>
      </w:tr>
      <w:tr>
        <w:tc>
          <w:tcPr>
            <w:tcW w:type="dxa" w:w="3475"/>
          </w:tcPr>
          <w:p>
            <w:pPr>
              <w:bidi/>
              <w:jc w:val="right"/>
            </w:pPr>
            <w:r/>
            <w:r>
              <w:rPr>
                <w:b/>
                <w:sz w:val="18"/>
              </w:rPr>
              <w:t>إصلاح الأعطال والتحديثات الأمنية</w:t>
            </w:r>
          </w:p>
        </w:tc>
        <w:tc>
          <w:tcPr>
            <w:tcW w:type="dxa" w:w="3475"/>
          </w:tcPr>
          <w:p>
            <w:pPr>
              <w:bidi/>
              <w:jc w:val="center"/>
            </w:pPr>
            <w:r/>
            <w:r>
              <w:rPr>
                <w:b w:val="0"/>
                <w:sz w:val="18"/>
              </w:rPr>
              <w:t>✓</w:t>
            </w:r>
          </w:p>
        </w:tc>
        <w:tc>
          <w:tcPr>
            <w:tcW w:type="dxa" w:w="3475"/>
          </w:tcPr>
          <w:p>
            <w:pPr>
              <w:bidi/>
              <w:jc w:val="center"/>
            </w:pPr>
            <w:r/>
            <w:r>
              <w:rPr>
                <w:b w:val="0"/>
                <w:sz w:val="18"/>
              </w:rPr>
              <w:t>✓</w:t>
            </w:r>
          </w:p>
        </w:tc>
      </w:tr>
      <w:tr>
        <w:tc>
          <w:tcPr>
            <w:tcW w:type="dxa" w:w="3475"/>
          </w:tcPr>
          <w:p>
            <w:pPr>
              <w:bidi/>
              <w:jc w:val="right"/>
            </w:pPr>
            <w:r/>
            <w:r>
              <w:rPr>
                <w:b/>
                <w:sz w:val="18"/>
              </w:rPr>
              <w:t>مواكبة تحديثات Google Maps Platform وCesium</w:t>
            </w:r>
          </w:p>
        </w:tc>
        <w:tc>
          <w:tcPr>
            <w:tcW w:type="dxa" w:w="3475"/>
          </w:tcPr>
          <w:p>
            <w:pPr>
              <w:bidi/>
              <w:jc w:val="center"/>
            </w:pPr>
            <w:r/>
            <w:r>
              <w:rPr>
                <w:b w:val="0"/>
                <w:sz w:val="18"/>
              </w:rPr>
              <w:t>✓</w:t>
            </w:r>
          </w:p>
        </w:tc>
        <w:tc>
          <w:tcPr>
            <w:tcW w:type="dxa" w:w="3475"/>
          </w:tcPr>
          <w:p>
            <w:pPr>
              <w:bidi/>
              <w:jc w:val="center"/>
            </w:pPr>
            <w:r/>
            <w:r>
              <w:rPr>
                <w:b w:val="0"/>
                <w:sz w:val="18"/>
              </w:rPr>
              <w:t>✓</w:t>
            </w:r>
          </w:p>
        </w:tc>
      </w:tr>
      <w:tr>
        <w:tc>
          <w:tcPr>
            <w:tcW w:type="dxa" w:w="3475"/>
          </w:tcPr>
          <w:p>
            <w:pPr>
              <w:bidi/>
              <w:jc w:val="right"/>
            </w:pPr>
            <w:r/>
            <w:r>
              <w:rPr>
                <w:b/>
                <w:sz w:val="18"/>
              </w:rPr>
              <w:t>دعم لوحة إدخال البيانات (حسابات، نماذج، استيراد ملفات)</w:t>
            </w:r>
          </w:p>
        </w:tc>
        <w:tc>
          <w:tcPr>
            <w:tcW w:type="dxa" w:w="3475"/>
          </w:tcPr>
          <w:p>
            <w:pPr>
              <w:bidi/>
              <w:jc w:val="center"/>
            </w:pPr>
            <w:r/>
            <w:r>
              <w:rPr>
                <w:b w:val="0"/>
                <w:sz w:val="18"/>
              </w:rPr>
              <w:t>✓ حتى 4 تدخلات/سنة</w:t>
            </w:r>
          </w:p>
        </w:tc>
        <w:tc>
          <w:tcPr>
            <w:tcW w:type="dxa" w:w="3475"/>
          </w:tcPr>
          <w:p>
            <w:pPr>
              <w:bidi/>
              <w:jc w:val="center"/>
            </w:pPr>
            <w:r/>
            <w:r>
              <w:rPr>
                <w:b w:val="0"/>
                <w:sz w:val="18"/>
              </w:rPr>
              <w:t>✓ غير محدود</w:t>
            </w:r>
          </w:p>
        </w:tc>
      </w:tr>
      <w:tr>
        <w:tc>
          <w:tcPr>
            <w:tcW w:type="dxa" w:w="3475"/>
          </w:tcPr>
          <w:p>
            <w:pPr>
              <w:bidi/>
              <w:jc w:val="right"/>
            </w:pPr>
            <w:r/>
            <w:r>
              <w:rPr>
                <w:b/>
                <w:sz w:val="18"/>
              </w:rPr>
              <w:t>صيانة التكامل مع الأنظمة الحكومية (إن اشتُري)</w:t>
            </w:r>
          </w:p>
        </w:tc>
        <w:tc>
          <w:tcPr>
            <w:tcW w:type="dxa" w:w="3475"/>
          </w:tcPr>
          <w:p>
            <w:pPr>
              <w:bidi/>
              <w:jc w:val="center"/>
            </w:pPr>
            <w:r/>
            <w:r>
              <w:rPr>
                <w:b w:val="0"/>
                <w:sz w:val="18"/>
              </w:rPr>
              <w:t>✕ عقد منفصل</w:t>
            </w:r>
          </w:p>
        </w:tc>
        <w:tc>
          <w:tcPr>
            <w:tcW w:type="dxa" w:w="3475"/>
          </w:tcPr>
          <w:p>
            <w:pPr>
              <w:bidi/>
              <w:jc w:val="center"/>
            </w:pPr>
            <w:r/>
            <w:r>
              <w:rPr>
                <w:b w:val="0"/>
                <w:sz w:val="18"/>
              </w:rPr>
              <w:t>✕ عقد منفصل ~12,000/سنة</w:t>
            </w:r>
          </w:p>
        </w:tc>
      </w:tr>
      <w:tr>
        <w:tc>
          <w:tcPr>
            <w:tcW w:type="dxa" w:w="3475"/>
          </w:tcPr>
          <w:p>
            <w:pPr>
              <w:bidi/>
              <w:jc w:val="right"/>
            </w:pPr>
            <w:r/>
            <w:r>
              <w:rPr>
                <w:b/>
                <w:sz w:val="18"/>
              </w:rPr>
              <w:t>مراجعة وتحسين مخرجات مولّد السيناريوهات قبل عرضها (كاميرا، طبقات، نص)</w:t>
            </w:r>
          </w:p>
        </w:tc>
        <w:tc>
          <w:tcPr>
            <w:tcW w:type="dxa" w:w="3475"/>
          </w:tcPr>
          <w:p>
            <w:pPr>
              <w:bidi/>
              <w:jc w:val="center"/>
            </w:pPr>
            <w:r/>
            <w:r>
              <w:rPr>
                <w:b w:val="0"/>
                <w:sz w:val="18"/>
              </w:rPr>
              <w:t>✕</w:t>
            </w:r>
          </w:p>
        </w:tc>
        <w:tc>
          <w:tcPr>
            <w:tcW w:type="dxa" w:w="3475"/>
          </w:tcPr>
          <w:p>
            <w:pPr>
              <w:bidi/>
              <w:jc w:val="center"/>
            </w:pPr>
            <w:r/>
            <w:r>
              <w:rPr>
                <w:b w:val="0"/>
                <w:sz w:val="18"/>
              </w:rPr>
              <w:t>✓ كل السيناريوهات</w:t>
            </w:r>
          </w:p>
        </w:tc>
      </w:tr>
      <w:tr>
        <w:tc>
          <w:tcPr>
            <w:tcW w:type="dxa" w:w="3475"/>
          </w:tcPr>
          <w:p>
            <w:pPr>
              <w:bidi/>
              <w:jc w:val="right"/>
            </w:pPr>
            <w:r/>
            <w:r>
              <w:rPr>
                <w:b/>
                <w:sz w:val="18"/>
              </w:rPr>
              <w:t>تعديلات المحتوى والمؤشرات والبطاقات عند الطلب</w:t>
            </w:r>
          </w:p>
        </w:tc>
        <w:tc>
          <w:tcPr>
            <w:tcW w:type="dxa" w:w="3475"/>
          </w:tcPr>
          <w:p>
            <w:pPr>
              <w:bidi/>
              <w:jc w:val="center"/>
            </w:pPr>
            <w:r/>
            <w:r>
              <w:rPr>
                <w:b w:val="0"/>
                <w:sz w:val="18"/>
              </w:rPr>
              <w:t>✓ حتى 6 طلبات/سنة</w:t>
            </w:r>
          </w:p>
        </w:tc>
        <w:tc>
          <w:tcPr>
            <w:tcW w:type="dxa" w:w="3475"/>
          </w:tcPr>
          <w:p>
            <w:pPr>
              <w:bidi/>
              <w:jc w:val="center"/>
            </w:pPr>
            <w:r/>
            <w:r>
              <w:rPr>
                <w:b w:val="0"/>
                <w:sz w:val="18"/>
              </w:rPr>
              <w:t>✓ غير محدود</w:t>
            </w:r>
          </w:p>
        </w:tc>
      </w:tr>
      <w:tr>
        <w:tc>
          <w:tcPr>
            <w:tcW w:type="dxa" w:w="3475"/>
          </w:tcPr>
          <w:p>
            <w:pPr>
              <w:bidi/>
              <w:jc w:val="right"/>
            </w:pPr>
            <w:r/>
            <w:r>
              <w:rPr>
                <w:b/>
                <w:sz w:val="18"/>
              </w:rPr>
              <w:t>إضافة نماذج ثلاثية الأبعاد ومعالم جديدة</w:t>
            </w:r>
          </w:p>
        </w:tc>
        <w:tc>
          <w:tcPr>
            <w:tcW w:type="dxa" w:w="3475"/>
          </w:tcPr>
          <w:p>
            <w:pPr>
              <w:bidi/>
              <w:jc w:val="center"/>
            </w:pPr>
            <w:r/>
            <w:r>
              <w:rPr>
                <w:b w:val="0"/>
                <w:sz w:val="18"/>
              </w:rPr>
              <w:t>✕</w:t>
            </w:r>
          </w:p>
        </w:tc>
        <w:tc>
          <w:tcPr>
            <w:tcW w:type="dxa" w:w="3475"/>
          </w:tcPr>
          <w:p>
            <w:pPr>
              <w:bidi/>
              <w:jc w:val="center"/>
            </w:pPr>
            <w:r/>
            <w:r>
              <w:rPr>
                <w:b w:val="0"/>
                <w:sz w:val="18"/>
              </w:rPr>
              <w:t>✓ حتى 6 نماذج/سنة</w:t>
            </w:r>
          </w:p>
        </w:tc>
      </w:tr>
      <w:tr>
        <w:tc>
          <w:tcPr>
            <w:tcW w:type="dxa" w:w="3475"/>
          </w:tcPr>
          <w:p>
            <w:pPr>
              <w:bidi/>
              <w:jc w:val="right"/>
            </w:pPr>
            <w:r/>
            <w:r>
              <w:rPr>
                <w:b/>
                <w:sz w:val="18"/>
              </w:rPr>
              <w:t>تعديل قوالب المولّد وإضافة حقول</w:t>
            </w:r>
          </w:p>
        </w:tc>
        <w:tc>
          <w:tcPr>
            <w:tcW w:type="dxa" w:w="3475"/>
          </w:tcPr>
          <w:p>
            <w:pPr>
              <w:bidi/>
              <w:jc w:val="center"/>
            </w:pPr>
            <w:r/>
            <w:r>
              <w:rPr>
                <w:b w:val="0"/>
                <w:sz w:val="18"/>
              </w:rPr>
              <w:t>✕</w:t>
            </w:r>
          </w:p>
        </w:tc>
        <w:tc>
          <w:tcPr>
            <w:tcW w:type="dxa" w:w="3475"/>
          </w:tcPr>
          <w:p>
            <w:pPr>
              <w:bidi/>
              <w:jc w:val="center"/>
            </w:pPr>
            <w:r/>
            <w:r>
              <w:rPr>
                <w:b w:val="0"/>
                <w:sz w:val="18"/>
              </w:rPr>
              <w:t>✓</w:t>
            </w:r>
          </w:p>
        </w:tc>
      </w:tr>
      <w:tr>
        <w:tc>
          <w:tcPr>
            <w:tcW w:type="dxa" w:w="3475"/>
          </w:tcPr>
          <w:p>
            <w:pPr>
              <w:bidi/>
              <w:jc w:val="right"/>
            </w:pPr>
            <w:r/>
            <w:r>
              <w:rPr>
                <w:b/>
                <w:sz w:val="18"/>
              </w:rPr>
              <w:t>زمن الاستجابة</w:t>
            </w:r>
          </w:p>
        </w:tc>
        <w:tc>
          <w:tcPr>
            <w:tcW w:type="dxa" w:w="3475"/>
          </w:tcPr>
          <w:p>
            <w:pPr>
              <w:bidi/>
              <w:jc w:val="center"/>
            </w:pPr>
            <w:r/>
            <w:r>
              <w:rPr>
                <w:b w:val="0"/>
                <w:sz w:val="18"/>
              </w:rPr>
              <w:t>3 أيام عمل</w:t>
            </w:r>
          </w:p>
        </w:tc>
        <w:tc>
          <w:tcPr>
            <w:tcW w:type="dxa" w:w="3475"/>
          </w:tcPr>
          <w:p>
            <w:pPr>
              <w:bidi/>
              <w:jc w:val="center"/>
            </w:pPr>
            <w:r/>
            <w:r>
              <w:rPr>
                <w:b w:val="0"/>
                <w:sz w:val="18"/>
              </w:rPr>
              <w:t>يوم عمل · طوارئ خلال 4 ساعات</w:t>
            </w:r>
          </w:p>
        </w:tc>
      </w:tr>
      <w:tr>
        <w:tc>
          <w:tcPr>
            <w:tcW w:type="dxa" w:w="3475"/>
          </w:tcPr>
          <w:p>
            <w:pPr>
              <w:bidi/>
              <w:jc w:val="right"/>
            </w:pPr>
            <w:r/>
            <w:r>
              <w:rPr>
                <w:b/>
                <w:sz w:val="18"/>
              </w:rPr>
              <w:t>زيارة ميدانية للشاشة الجدارية</w:t>
            </w:r>
          </w:p>
        </w:tc>
        <w:tc>
          <w:tcPr>
            <w:tcW w:type="dxa" w:w="3475"/>
          </w:tcPr>
          <w:p>
            <w:pPr>
              <w:bidi/>
              <w:jc w:val="center"/>
            </w:pPr>
            <w:r/>
            <w:r>
              <w:rPr>
                <w:b w:val="0"/>
                <w:sz w:val="18"/>
              </w:rPr>
              <w:t>سنوياً</w:t>
            </w:r>
          </w:p>
        </w:tc>
        <w:tc>
          <w:tcPr>
            <w:tcW w:type="dxa" w:w="3475"/>
          </w:tcPr>
          <w:p>
            <w:pPr>
              <w:bidi/>
              <w:jc w:val="center"/>
            </w:pPr>
            <w:r/>
            <w:r>
              <w:rPr>
                <w:b w:val="0"/>
                <w:sz w:val="18"/>
              </w:rPr>
              <w:t>ربع سنوية</w:t>
            </w:r>
          </w:p>
        </w:tc>
      </w:tr>
      <w:tr>
        <w:tc>
          <w:tcPr>
            <w:tcW w:type="dxa" w:w="3475"/>
          </w:tcPr>
          <w:p>
            <w:pPr>
              <w:bidi/>
              <w:jc w:val="right"/>
            </w:pPr>
            <w:r/>
            <w:r>
              <w:rPr>
                <w:b/>
                <w:sz w:val="18"/>
              </w:rPr>
              <w:t>تقرير الأداء والاستخدام</w:t>
            </w:r>
          </w:p>
        </w:tc>
        <w:tc>
          <w:tcPr>
            <w:tcW w:type="dxa" w:w="3475"/>
          </w:tcPr>
          <w:p>
            <w:pPr>
              <w:bidi/>
              <w:jc w:val="center"/>
            </w:pPr>
            <w:r/>
            <w:r>
              <w:rPr>
                <w:b w:val="0"/>
                <w:sz w:val="18"/>
              </w:rPr>
              <w:t>نصف سنوي</w:t>
            </w:r>
          </w:p>
        </w:tc>
        <w:tc>
          <w:tcPr>
            <w:tcW w:type="dxa" w:w="3475"/>
          </w:tcPr>
          <w:p>
            <w:pPr>
              <w:bidi/>
              <w:jc w:val="center"/>
            </w:pPr>
            <w:r/>
            <w:r>
              <w:rPr>
                <w:b w:val="0"/>
                <w:sz w:val="18"/>
              </w:rPr>
              <w:t>شهري</w:t>
            </w:r>
          </w:p>
        </w:tc>
      </w:tr>
      <w:tr>
        <w:tc>
          <w:tcPr>
            <w:tcW w:type="dxa" w:w="3475"/>
          </w:tcPr>
          <w:p>
            <w:pPr>
              <w:bidi/>
              <w:jc w:val="right"/>
            </w:pPr>
            <w:r/>
            <w:r>
              <w:rPr>
                <w:b/>
                <w:sz w:val="18"/>
              </w:rPr>
              <w:t>تدريب مستخدمين جدد</w:t>
            </w:r>
          </w:p>
        </w:tc>
        <w:tc>
          <w:tcPr>
            <w:tcW w:type="dxa" w:w="3475"/>
          </w:tcPr>
          <w:p>
            <w:pPr>
              <w:bidi/>
              <w:jc w:val="center"/>
            </w:pPr>
            <w:r/>
            <w:r>
              <w:rPr>
                <w:b w:val="0"/>
                <w:sz w:val="18"/>
              </w:rPr>
              <w:t>جلسة واحدة</w:t>
            </w:r>
          </w:p>
        </w:tc>
        <w:tc>
          <w:tcPr>
            <w:tcW w:type="dxa" w:w="3475"/>
          </w:tcPr>
          <w:p>
            <w:pPr>
              <w:bidi/>
              <w:jc w:val="center"/>
            </w:pPr>
            <w:r/>
            <w:r>
              <w:rPr>
                <w:b w:val="0"/>
                <w:sz w:val="18"/>
              </w:rPr>
              <w:t>عند الطلب</w:t>
            </w:r>
          </w:p>
        </w:tc>
      </w:tr>
      <w:tr>
        <w:tc>
          <w:tcPr>
            <w:tcW w:type="dxa" w:w="3475"/>
          </w:tcPr>
          <w:p>
            <w:pPr>
              <w:bidi/>
              <w:jc w:val="right"/>
            </w:pPr>
            <w:r/>
            <w:r>
              <w:rPr>
                <w:b/>
                <w:sz w:val="18"/>
              </w:rPr>
              <w:t>التقدير السنوي · Indicative annual fee</w:t>
            </w:r>
          </w:p>
        </w:tc>
        <w:tc>
          <w:tcPr>
            <w:tcW w:type="dxa" w:w="3475"/>
          </w:tcPr>
          <w:p>
            <w:pPr>
              <w:bidi/>
              <w:jc w:val="center"/>
            </w:pPr>
            <w:r/>
            <w:r>
              <w:rPr>
                <w:b w:val="0"/>
                <w:sz w:val="18"/>
              </w:rPr>
              <w:t>~ 15,000</w:t>
            </w:r>
          </w:p>
        </w:tc>
        <w:tc>
          <w:tcPr>
            <w:tcW w:type="dxa" w:w="3475"/>
          </w:tcPr>
          <w:p>
            <w:pPr>
              <w:bidi/>
              <w:jc w:val="center"/>
            </w:pPr>
            <w:r/>
            <w:r>
              <w:rPr>
                <w:b w:val="0"/>
                <w:sz w:val="18"/>
              </w:rPr>
              <w:t>~ 32,000</w:t>
            </w:r>
          </w:p>
        </w:tc>
      </w:tr>
    </w:tbl>
    <w:tbl>
      <w:tblPr>
        <w:tblStyle w:val="TableGrid"/>
        <w:tblW w:type="auto" w:w="0"/>
        <w:tblLook w:firstColumn="1" w:firstRow="1" w:lastColumn="0" w:lastRow="0" w:noHBand="0" w:noVBand="1" w:val="04A0"/>
        <w:bidiVisual/>
      </w:tblPr>
      <w:tblGrid>
        <w:gridCol w:w="10426"/>
      </w:tblGrid>
      <w:tr>
        <w:tc>
          <w:tcPr>
            <w:tcW w:type="dxa" w:w="10426"/>
            <w:shd w:val="clear" w:fill="F2EEFB"/>
          </w:tcPr>
          <w:p>
            <w:pPr>
              <w:bidi/>
              <w:jc w:val="right"/>
            </w:pPr>
            <w:r/>
            <w:r>
              <w:rPr>
                <w:b w:val="0"/>
                <w:sz w:val="17"/>
              </w:rPr>
              <w:t>خارج الدعم: أجهزة الشاشة الجدارية والشبكة؛ رسوم Google Maps Platform والاستضافة (بحسب الاستخدام الفعلي)؛ بناء سيناريوهات جديدة كاملة (تُغطّى بباقات القسم 2)؛ التكامل مع الأنظمة الحكومية وصيانته (خيار منفصل في التقدير الأساسي). التعاقد لسنتين يمنح خصماً ~10% على الدعم.</w:t>
            </w:r>
          </w:p>
        </w:tc>
      </w:tr>
    </w:tbl>
    <w:p>
      <w:pPr>
        <w:bidi/>
        <w:jc w:val="right"/>
      </w:pPr>
      <w:r>
        <w:rPr>
          <w:b/>
          <w:color w:val="5B3FD6"/>
          <w:sz w:val="24"/>
        </w:rPr>
        <w:t>5 · حزم مقترحة للسنة الأولى</w:t>
      </w:r>
      <w:r>
        <w:rPr>
          <w:color w:val="5A6B78"/>
          <w:sz w:val="17"/>
        </w:rPr>
        <w:t xml:space="preserve">   Suggested year-1 bundles</w:t>
      </w:r>
    </w:p>
    <w:tbl>
      <w:tblPr>
        <w:tblStyle w:val="TableGrid"/>
        <w:tblW w:type="auto" w:w="0"/>
        <w:tblLook w:firstColumn="1" w:firstRow="1" w:lastColumn="0" w:lastRow="0" w:noHBand="0" w:noVBand="1" w:val="04A0"/>
        <w:bidiVisual/>
      </w:tblPr>
      <w:tblGrid>
        <w:gridCol w:w="3475"/>
        <w:gridCol w:w="3475"/>
        <w:gridCol w:w="3475"/>
      </w:tblGrid>
      <w:tr>
        <w:tc>
          <w:tcPr>
            <w:tcW w:type="dxa" w:w="3475"/>
            <w:shd w:val="clear" w:fill="14222F"/>
          </w:tcPr>
          <w:p>
            <w:pPr>
              <w:bidi/>
              <w:jc w:val="right"/>
            </w:pPr>
            <w:r/>
            <w:r>
              <w:rPr>
                <w:b/>
                <w:color w:val="FFFFFF"/>
                <w:sz w:val="18"/>
              </w:rPr>
              <w:t>الحزمة</w:t>
            </w:r>
          </w:p>
        </w:tc>
        <w:tc>
          <w:tcPr>
            <w:tcW w:type="dxa" w:w="3475"/>
            <w:shd w:val="clear" w:fill="14222F"/>
          </w:tcPr>
          <w:p>
            <w:pPr>
              <w:bidi/>
              <w:jc w:val="center"/>
            </w:pPr>
            <w:r/>
            <w:r>
              <w:rPr>
                <w:b/>
                <w:color w:val="FFFFFF"/>
                <w:sz w:val="18"/>
              </w:rPr>
              <w:t>المكوّنات</w:t>
            </w:r>
          </w:p>
        </w:tc>
        <w:tc>
          <w:tcPr>
            <w:tcW w:type="dxa" w:w="3475"/>
            <w:shd w:val="clear" w:fill="14222F"/>
          </w:tcPr>
          <w:p>
            <w:pPr>
              <w:bidi/>
              <w:jc w:val="center"/>
            </w:pPr>
            <w:r/>
            <w:r>
              <w:rPr>
                <w:b/>
                <w:color w:val="FFFFFF"/>
                <w:sz w:val="18"/>
              </w:rPr>
              <w:t>التقدير (AED)</w:t>
            </w:r>
          </w:p>
        </w:tc>
      </w:tr>
      <w:tr>
        <w:tc>
          <w:tcPr>
            <w:tcW w:type="dxa" w:w="3475"/>
          </w:tcPr>
          <w:p>
            <w:pPr>
              <w:bidi/>
              <w:jc w:val="right"/>
            </w:pPr>
            <w:r/>
            <w:r>
              <w:rPr>
                <w:b/>
                <w:sz w:val="18"/>
              </w:rPr>
              <w:t>أ · الانطلاق</w:t>
            </w:r>
          </w:p>
        </w:tc>
        <w:tc>
          <w:tcPr>
            <w:tcW w:type="dxa" w:w="3475"/>
          </w:tcPr>
          <w:p>
            <w:pPr>
              <w:bidi/>
              <w:jc w:val="center"/>
            </w:pPr>
            <w:r/>
            <w:r>
              <w:rPr>
                <w:b w:val="0"/>
                <w:sz w:val="18"/>
              </w:rPr>
              <w:t>المنصة (70,000) + 3 سيناريوهات (27,000) + دعم أساسي (15,000)</w:t>
            </w:r>
          </w:p>
        </w:tc>
        <w:tc>
          <w:tcPr>
            <w:tcW w:type="dxa" w:w="3475"/>
          </w:tcPr>
          <w:p>
            <w:pPr>
              <w:bidi/>
              <w:jc w:val="center"/>
            </w:pPr>
            <w:r/>
            <w:r>
              <w:rPr>
                <w:b w:val="0"/>
                <w:sz w:val="18"/>
              </w:rPr>
              <w:t>~ 112,000</w:t>
            </w:r>
          </w:p>
        </w:tc>
      </w:tr>
      <w:tr>
        <w:tc>
          <w:tcPr>
            <w:tcW w:type="dxa" w:w="3475"/>
          </w:tcPr>
          <w:p>
            <w:pPr>
              <w:bidi/>
              <w:jc w:val="right"/>
            </w:pPr>
            <w:r/>
            <w:r>
              <w:rPr>
                <w:b/>
                <w:sz w:val="18"/>
              </w:rPr>
              <w:t>ب · التشغيل الكامل</w:t>
            </w:r>
          </w:p>
        </w:tc>
        <w:tc>
          <w:tcPr>
            <w:tcW w:type="dxa" w:w="3475"/>
          </w:tcPr>
          <w:p>
            <w:pPr>
              <w:bidi/>
              <w:jc w:val="center"/>
            </w:pPr>
            <w:r/>
            <w:r>
              <w:rPr>
                <w:b w:val="0"/>
                <w:sz w:val="18"/>
              </w:rPr>
              <w:t>المنصة (70,000) + 6 سيناريوهات (45,000) + دعم شامل (32,000)</w:t>
            </w:r>
          </w:p>
        </w:tc>
        <w:tc>
          <w:tcPr>
            <w:tcW w:type="dxa" w:w="3475"/>
          </w:tcPr>
          <w:p>
            <w:pPr>
              <w:bidi/>
              <w:jc w:val="center"/>
            </w:pPr>
            <w:r/>
            <w:r>
              <w:rPr>
                <w:b w:val="0"/>
                <w:sz w:val="18"/>
              </w:rPr>
              <w:t>~ 147,000</w:t>
            </w:r>
          </w:p>
        </w:tc>
      </w:tr>
      <w:tr>
        <w:tc>
          <w:tcPr>
            <w:tcW w:type="dxa" w:w="3475"/>
          </w:tcPr>
          <w:p>
            <w:pPr>
              <w:bidi/>
              <w:jc w:val="right"/>
            </w:pPr>
            <w:r/>
            <w:r>
              <w:rPr>
                <w:b/>
                <w:sz w:val="18"/>
              </w:rPr>
              <w:t>ج · الاستقلالية</w:t>
            </w:r>
          </w:p>
        </w:tc>
        <w:tc>
          <w:tcPr>
            <w:tcW w:type="dxa" w:w="3475"/>
          </w:tcPr>
          <w:p>
            <w:pPr>
              <w:bidi/>
              <w:jc w:val="center"/>
            </w:pPr>
            <w:r/>
            <w:r>
              <w:rPr>
                <w:b w:val="0"/>
                <w:sz w:val="18"/>
              </w:rPr>
              <w:t>المنصة (70,000) + المولّد (38,000) + دعم شامل يراجع كل ما يُولَّد (32,000) + المساعد النصي (3,000)</w:t>
            </w:r>
          </w:p>
        </w:tc>
        <w:tc>
          <w:tcPr>
            <w:tcW w:type="dxa" w:w="3475"/>
          </w:tcPr>
          <w:p>
            <w:pPr>
              <w:bidi/>
              <w:jc w:val="center"/>
            </w:pPr>
            <w:r/>
            <w:r>
              <w:rPr>
                <w:b w:val="0"/>
                <w:sz w:val="18"/>
              </w:rPr>
              <w:t>~ 143,000</w:t>
            </w:r>
          </w:p>
        </w:tc>
      </w:tr>
      <w:tr>
        <w:tc>
          <w:tcPr>
            <w:tcW w:type="dxa" w:w="3475"/>
          </w:tcPr>
          <w:p>
            <w:pPr>
              <w:bidi/>
              <w:jc w:val="right"/>
            </w:pPr>
            <w:r/>
            <w:r>
              <w:rPr>
                <w:b/>
                <w:sz w:val="18"/>
              </w:rPr>
              <w:t>د · الاستقلالية + قصص كبرى</w:t>
            </w:r>
          </w:p>
        </w:tc>
        <w:tc>
          <w:tcPr>
            <w:tcW w:type="dxa" w:w="3475"/>
          </w:tcPr>
          <w:p>
            <w:pPr>
              <w:bidi/>
              <w:jc w:val="center"/>
            </w:pPr>
            <w:r/>
            <w:r>
              <w:rPr>
                <w:b w:val="0"/>
                <w:sz w:val="18"/>
              </w:rPr>
              <w:t>الحزمة ج + 3 سيناريوهات مصمَّمة يدوياً للمناسبات الكبرى (27,000)</w:t>
            </w:r>
          </w:p>
        </w:tc>
        <w:tc>
          <w:tcPr>
            <w:tcW w:type="dxa" w:w="3475"/>
          </w:tcPr>
          <w:p>
            <w:pPr>
              <w:bidi/>
              <w:jc w:val="center"/>
            </w:pPr>
            <w:r/>
            <w:r>
              <w:rPr>
                <w:b w:val="0"/>
                <w:sz w:val="18"/>
              </w:rPr>
              <w:t>~ 170,000</w:t>
            </w:r>
          </w:p>
        </w:tc>
      </w:tr>
      <w:tr>
        <w:tc>
          <w:tcPr>
            <w:tcW w:type="dxa" w:w="3475"/>
          </w:tcPr>
          <w:p>
            <w:pPr>
              <w:bidi/>
              <w:jc w:val="right"/>
            </w:pPr>
            <w:r/>
            <w:r>
              <w:rPr>
                <w:b/>
                <w:sz w:val="18"/>
              </w:rPr>
              <w:t>+ التكامل الحكومي (لأي حزمة)</w:t>
            </w:r>
          </w:p>
        </w:tc>
        <w:tc>
          <w:tcPr>
            <w:tcW w:type="dxa" w:w="3475"/>
          </w:tcPr>
          <w:p>
            <w:pPr>
              <w:bidi/>
              <w:jc w:val="center"/>
            </w:pPr>
            <w:r/>
            <w:r>
              <w:rPr>
                <w:b w:val="0"/>
                <w:sz w:val="18"/>
              </w:rPr>
              <w:t>ربط مباشر بأنظمة الوزارة بدل الإدخال اليدوي — النظام الأول من 60,000 + 25,000 لكل نظام إضافي + 12,000 صيانة سنوية؛ يُثبَّت بعد ورشة تقنية</w:t>
            </w:r>
          </w:p>
        </w:tc>
        <w:tc>
          <w:tcPr>
            <w:tcW w:type="dxa" w:w="3475"/>
          </w:tcPr>
          <w:p>
            <w:pPr>
              <w:bidi/>
              <w:jc w:val="center"/>
            </w:pPr>
            <w:r/>
            <w:r>
              <w:rPr>
                <w:b w:val="0"/>
                <w:sz w:val="18"/>
              </w:rPr>
              <w:t>من ~ 60,000</w:t>
            </w:r>
          </w:p>
        </w:tc>
      </w:tr>
    </w:tbl>
    <w:tbl>
      <w:tblPr>
        <w:tblStyle w:val="TableGrid"/>
        <w:tblW w:type="auto" w:w="0"/>
        <w:tblLook w:firstColumn="1" w:firstRow="1" w:lastColumn="0" w:lastRow="0" w:noHBand="0" w:noVBand="1" w:val="04A0"/>
        <w:bidiVisual/>
      </w:tblPr>
      <w:tblGrid>
        <w:gridCol w:w="10426"/>
      </w:tblGrid>
      <w:tr>
        <w:tc>
          <w:tcPr>
            <w:tcW w:type="dxa" w:w="10426"/>
            <w:shd w:val="clear" w:fill="FBF1E4"/>
          </w:tcPr>
          <w:p>
            <w:pPr>
              <w:bidi/>
              <w:jc w:val="right"/>
            </w:pPr>
            <w:r/>
            <w:r>
              <w:rPr>
                <w:b w:val="0"/>
                <w:sz w:val="17"/>
              </w:rPr>
              <w:t>طبيعة الأرقام: كل القيم تقديرية بهامش ±15% وغير شاملة لضريبة القيمة المضافة (5%)، وتُثبَّت في عرض رسمي بعد اعتماد النطاق. الرسوم السنوية تبدأ من تاريخ التسليم النهائي للمنصة.</w:t>
            </w:r>
          </w:p>
        </w:tc>
      </w:tr>
    </w:tbl>
    <w:p>
      <w:pPr>
        <w:bidi/>
        <w:jc w:val="right"/>
      </w:pPr>
      <w:r>
        <w:rPr>
          <w:b/>
          <w:color w:val="5B3FD6"/>
          <w:sz w:val="24"/>
        </w:rPr>
        <w:t>6 · الشروط المقترحة</w:t>
      </w:r>
      <w:r>
        <w:rPr>
          <w:color w:val="5A6B78"/>
          <w:sz w:val="17"/>
        </w:rPr>
        <w:t xml:space="preserve">   Proposed terms</w:t>
      </w:r>
    </w:p>
    <w:tbl>
      <w:tblPr>
        <w:tblStyle w:val="TableGrid"/>
        <w:tblW w:type="auto" w:w="0"/>
        <w:tblLook w:firstColumn="1" w:firstRow="1" w:lastColumn="0" w:lastRow="0" w:noHBand="0" w:noVBand="1" w:val="04A0"/>
        <w:bidiVisual/>
      </w:tblPr>
      <w:tblGrid>
        <w:gridCol w:w="5213"/>
        <w:gridCol w:w="5213"/>
      </w:tblGrid>
      <w:tr>
        <w:tc>
          <w:tcPr>
            <w:tcW w:type="dxa" w:w="5213"/>
            <w:shd w:val="clear" w:fill="14222F"/>
          </w:tcPr>
          <w:p>
            <w:pPr>
              <w:bidi/>
              <w:jc w:val="right"/>
            </w:pPr>
            <w:r/>
            <w:r>
              <w:rPr>
                <w:b/>
                <w:color w:val="FFFFFF"/>
                <w:sz w:val="18"/>
              </w:rPr>
              <w:t>البند</w:t>
            </w:r>
          </w:p>
        </w:tc>
        <w:tc>
          <w:tcPr>
            <w:tcW w:type="dxa" w:w="5213"/>
            <w:shd w:val="clear" w:fill="14222F"/>
          </w:tcPr>
          <w:p>
            <w:pPr>
              <w:bidi/>
              <w:jc w:val="center"/>
            </w:pPr>
            <w:r/>
            <w:r>
              <w:rPr>
                <w:b/>
                <w:color w:val="FFFFFF"/>
                <w:sz w:val="18"/>
              </w:rPr>
              <w:t>التفصيل</w:t>
            </w:r>
          </w:p>
        </w:tc>
      </w:tr>
      <w:tr>
        <w:tc>
          <w:tcPr>
            <w:tcW w:type="dxa" w:w="5213"/>
          </w:tcPr>
          <w:p>
            <w:pPr>
              <w:bidi/>
              <w:jc w:val="right"/>
            </w:pPr>
            <w:r/>
            <w:r>
              <w:rPr>
                <w:b/>
                <w:sz w:val="18"/>
              </w:rPr>
              <w:t>الدفع المقترح</w:t>
            </w:r>
          </w:p>
        </w:tc>
        <w:tc>
          <w:tcPr>
            <w:tcW w:type="dxa" w:w="5213"/>
          </w:tcPr>
          <w:p>
            <w:pPr>
              <w:bidi/>
              <w:jc w:val="center"/>
            </w:pPr>
            <w:r/>
            <w:r>
              <w:rPr>
                <w:b w:val="0"/>
                <w:sz w:val="18"/>
              </w:rPr>
              <w:t>الباقات السنوية: 50% عند البدء · 50% بعد 6 أشهر — المولّد: 40 / 40 / 20</w:t>
            </w:r>
          </w:p>
        </w:tc>
      </w:tr>
      <w:tr>
        <w:tc>
          <w:tcPr>
            <w:tcW w:type="dxa" w:w="5213"/>
          </w:tcPr>
          <w:p>
            <w:pPr>
              <w:bidi/>
              <w:jc w:val="right"/>
            </w:pPr>
            <w:r/>
            <w:r>
              <w:rPr>
                <w:b/>
                <w:sz w:val="18"/>
              </w:rPr>
              <w:t>مدة الباقات</w:t>
            </w:r>
          </w:p>
        </w:tc>
        <w:tc>
          <w:tcPr>
            <w:tcW w:type="dxa" w:w="5213"/>
          </w:tcPr>
          <w:p>
            <w:pPr>
              <w:bidi/>
              <w:jc w:val="center"/>
            </w:pPr>
            <w:r/>
            <w:r>
              <w:rPr>
                <w:b w:val="0"/>
                <w:sz w:val="18"/>
              </w:rPr>
              <w:t>12 شهراً قابلة للتجديد؛ الترقية بين الباقات في أي وقت بفرق القيمة</w:t>
            </w:r>
          </w:p>
        </w:tc>
      </w:tr>
      <w:tr>
        <w:tc>
          <w:tcPr>
            <w:tcW w:type="dxa" w:w="5213"/>
          </w:tcPr>
          <w:p>
            <w:pPr>
              <w:bidi/>
              <w:jc w:val="right"/>
            </w:pPr>
            <w:r/>
            <w:r>
              <w:rPr>
                <w:b/>
                <w:sz w:val="18"/>
              </w:rPr>
              <w:t>الملكية</w:t>
            </w:r>
          </w:p>
        </w:tc>
        <w:tc>
          <w:tcPr>
            <w:tcW w:type="dxa" w:w="5213"/>
          </w:tcPr>
          <w:p>
            <w:pPr>
              <w:bidi/>
              <w:jc w:val="center"/>
            </w:pPr>
            <w:r/>
            <w:r>
              <w:rPr>
                <w:b w:val="0"/>
                <w:sz w:val="18"/>
              </w:rPr>
              <w:t>السيناريوهات والقوالب المنتَجة ملك للوزارة؛ محرك المولّد يبقى للمطوّر مع ترخيص استخدام دائم</w:t>
            </w:r>
          </w:p>
        </w:tc>
      </w:tr>
    </w:tbl>
    <w:p/>
    <w:tbl>
      <w:tblPr>
        <w:tblStyle w:val="TableGrid"/>
        <w:tblW w:type="auto" w:w="0"/>
        <w:tblLook w:firstColumn="1" w:firstRow="1" w:lastColumn="0" w:lastRow="0" w:noHBand="0" w:noVBand="1" w:val="04A0"/>
        <w:bidiVisual/>
      </w:tblPr>
      <w:tblGrid>
        <w:gridCol w:w="5213"/>
        <w:gridCol w:w="5213"/>
      </w:tblGrid>
      <w:tr>
        <w:tc>
          <w:tcPr>
            <w:tcW w:type="dxa" w:w="5213"/>
          </w:tcPr>
          <w:p>
            <w:pPr>
              <w:bidi/>
              <w:jc w:val="right"/>
            </w:pPr>
            <w:r/>
            <w:r>
              <w:rPr>
                <w:b/>
                <w:sz w:val="18"/>
              </w:rPr>
              <w:t>عن AVI TECH</w:t>
            </w:r>
          </w:p>
        </w:tc>
        <w:tc>
          <w:tcPr>
            <w:tcW w:type="dxa" w:w="5213"/>
          </w:tcPr>
          <w:p>
            <w:pPr>
              <w:bidi/>
              <w:jc w:val="right"/>
            </w:pPr>
            <w:r/>
            <w:r>
              <w:rPr>
                <w:b/>
                <w:sz w:val="18"/>
              </w:rPr>
              <w:t>ملاحظات الوزارة · MOI remarks</w:t>
            </w:r>
          </w:p>
        </w:tc>
      </w:tr>
      <w:tr>
        <w:tc>
          <w:tcPr>
            <w:tcW w:type="dxa" w:w="5213"/>
          </w:tcPr>
          <w:p>
            <w:pPr>
              <w:bidi/>
              <w:jc w:val="right"/>
            </w:pPr>
            <w:r/>
            <w:r>
              <w:rPr>
                <w:b w:val="0"/>
                <w:sz w:val="18"/>
              </w:rPr>
              <w:br/>
              <w:t>الاسم · التوقيع · التاريخ</w:t>
            </w:r>
          </w:p>
        </w:tc>
        <w:tc>
          <w:tcPr>
            <w:tcW w:type="dxa" w:w="5213"/>
          </w:tcPr>
          <w:p>
            <w:pPr>
              <w:bidi/>
              <w:jc w:val="right"/>
            </w:pPr>
            <w:r/>
            <w:r>
              <w:rPr>
                <w:b w:val="0"/>
                <w:sz w:val="18"/>
              </w:rPr>
              <w:br/>
              <w:t>الاسم · التوقيع · التاريخ</w:t>
            </w:r>
          </w:p>
        </w:tc>
      </w:tr>
    </w:tbl>
    <w:sectPr w:rsidR="00FC693F" w:rsidRPr="0006063C" w:rsidSect="00034616">
      <w:pgSz w:w="12240" w:h="15840"/>
      <w:pgMar w:top="794" w:right="907" w:bottom="794" w:left="907" w:header="720" w:footer="720" w:gutter="0"/>
      <w:cols w:space="720"/>
      <w:docGrid w:linePitch="36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